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ap-wide-methodology-notes"/>
    <w:p>
      <w:pPr>
        <w:pStyle w:val="Heading1"/>
      </w:pPr>
      <w:r>
        <w:t xml:space="preserve">AP-Wide Methodology Notes</w:t>
      </w:r>
    </w:p>
    <w:p>
      <w:pPr>
        <w:pStyle w:val="FirstParagraph"/>
      </w:pPr>
      <w:r>
        <w:t xml:space="preserve">This document describes how AP processed and analyzed CBP</w:t>
      </w:r>
      <w:r>
        <w:t xml:space="preserve"> </w:t>
      </w:r>
      <w:r>
        <w:t xml:space="preserve">onward-destination data released through FOIA for the AP-Wide state</w:t>
      </w:r>
      <w:r>
        <w:t xml:space="preserve"> </w:t>
      </w:r>
      <w:r>
        <w:t xml:space="preserve">section reports. It is written for users of the AP-Wide report pages,</w:t>
      </w:r>
      <w:r>
        <w:t xml:space="preserve"> </w:t>
      </w:r>
      <w:r>
        <w:t xml:space="preserve">which present aggregated state-section findings rather than record-level</w:t>
      </w:r>
      <w:r>
        <w:t xml:space="preserve"> </w:t>
      </w:r>
      <w:r>
        <w:t xml:space="preserve">tables.</w:t>
      </w:r>
    </w:p>
    <w:p>
      <w:pPr>
        <w:pStyle w:val="BodyText"/>
      </w:pPr>
      <w:r>
        <w:t xml:space="preserve">The AP-Wide reports answer one main question:</w:t>
      </w:r>
    </w:p>
    <w:p>
      <w:pPr>
        <w:pStyle w:val="BodyText"/>
      </w:pPr>
      <w:r>
        <w:rPr>
          <w:b/>
          <w:bCs/>
        </w:rPr>
        <w:t xml:space="preserve">When CBP recorded migrants arrested or encountered at the border, what</w:t>
      </w:r>
      <w:r>
        <w:rPr>
          <w:b/>
          <w:bCs/>
        </w:rPr>
        <w:t xml:space="preserve"> </w:t>
      </w:r>
      <w:r>
        <w:rPr>
          <w:b/>
          <w:bCs/>
        </w:rPr>
        <w:t xml:space="preserve">ZIP codes did those migrants say they were headed to inside the United</w:t>
      </w:r>
      <w:r>
        <w:rPr>
          <w:b/>
          <w:bCs/>
        </w:rPr>
        <w:t xml:space="preserve"> </w:t>
      </w:r>
      <w:r>
        <w:rPr>
          <w:b/>
          <w:bCs/>
        </w:rPr>
        <w:t xml:space="preserve">States?</w:t>
      </w:r>
    </w:p>
    <w:p>
      <w:pPr>
        <w:pStyle w:val="BodyText"/>
      </w:pPr>
      <w:r>
        <w:t xml:space="preserve">The source material arrived in more than one release, with different</w:t>
      </w:r>
      <w:r>
        <w:t xml:space="preserve"> </w:t>
      </w:r>
      <w:r>
        <w:t xml:space="preserve">structures, imperfect ZIP fields, possible duplicate records and missing</w:t>
      </w:r>
      <w:r>
        <w:t xml:space="preserve"> </w:t>
      </w:r>
      <w:r>
        <w:t xml:space="preserve">values. Some destination ZIPs appeared to correspond to detention or</w:t>
      </w:r>
      <w:r>
        <w:t xml:space="preserve"> </w:t>
      </w:r>
      <w:r>
        <w:t xml:space="preserve">correctional facilities rather than community destinations. AP</w:t>
      </w:r>
      <w:r>
        <w:t xml:space="preserve"> </w:t>
      </w:r>
      <w:r>
        <w:t xml:space="preserve">standardized the records for analysis while preserving the limits of</w:t>
      </w:r>
      <w:r>
        <w:t xml:space="preserve"> </w:t>
      </w:r>
      <w:r>
        <w:t xml:space="preserve">what the data can show.</w:t>
      </w:r>
    </w:p>
    <w:bookmarkStart w:id="9" w:name="what-ap-wide-users-receive"/>
    <w:p>
      <w:pPr>
        <w:pStyle w:val="Heading2"/>
      </w:pPr>
      <w:r>
        <w:t xml:space="preserve">What AP-Wide users receive</w:t>
      </w:r>
    </w:p>
    <w:p>
      <w:pPr>
        <w:pStyle w:val="FirstParagraph"/>
      </w:pPr>
      <w:r>
        <w:t xml:space="preserve">The AP-Wide report is organized as a set of state section pages covering</w:t>
      </w:r>
      <w:r>
        <w:t xml:space="preserve"> </w:t>
      </w:r>
      <w:r>
        <w:t xml:space="preserve">the 50 states and Washington, D.C., plus a national state rankings page.</w:t>
      </w:r>
      <w:r>
        <w:t xml:space="preserve"> </w:t>
      </w:r>
      <w:r>
        <w:t xml:space="preserve">These pages present filtered, aggregated findings rather than</w:t>
      </w:r>
      <w:r>
        <w:t xml:space="preserve"> </w:t>
      </w:r>
      <w:r>
        <w:t xml:space="preserve">record-level source tables.</w:t>
      </w:r>
    </w:p>
    <w:p>
      <w:pPr>
        <w:pStyle w:val="BodyText"/>
      </w:pPr>
      <w:r>
        <w:t xml:space="preserve">Each state page focuses on destination ZIPs within that state or</w:t>
      </w:r>
      <w:r>
        <w:t xml:space="preserve"> </w:t>
      </w:r>
      <w:r>
        <w:t xml:space="preserve">Washington, D.C. It includes ZIP-level totals, citizenship-by-ZIP</w:t>
      </w:r>
      <w:r>
        <w:t xml:space="preserve"> </w:t>
      </w:r>
      <w:r>
        <w:t xml:space="preserve">tables, per-capita ZIP comparisons where population denominators are</w:t>
      </w:r>
      <w:r>
        <w:t xml:space="preserve"> </w:t>
      </w:r>
      <w:r>
        <w:t xml:space="preserve">available, and an interactive map that follows AP’s public ZIP privacy</w:t>
      </w:r>
      <w:r>
        <w:t xml:space="preserve"> </w:t>
      </w:r>
      <w:r>
        <w:t xml:space="preserve">rules.</w:t>
      </w:r>
    </w:p>
    <w:p>
      <w:pPr>
        <w:pStyle w:val="BodyText"/>
      </w:pPr>
      <w:r>
        <w:t xml:space="preserve">The national state rankings page compares the same cleaned records</w:t>
      </w:r>
      <w:r>
        <w:t xml:space="preserve"> </w:t>
      </w:r>
      <w:r>
        <w:t xml:space="preserve">across the 50 states and Washington, D.C. It includes total migrants by</w:t>
      </w:r>
      <w:r>
        <w:t xml:space="preserve"> </w:t>
      </w:r>
      <w:r>
        <w:t xml:space="preserve">state, totals by citizenship and state, per-capita migrants by state,</w:t>
      </w:r>
      <w:r>
        <w:t xml:space="preserve"> </w:t>
      </w:r>
      <w:r>
        <w:t xml:space="preserve">and per-capita rates by citizenship and state.</w:t>
      </w:r>
    </w:p>
    <w:p>
      <w:pPr>
        <w:pStyle w:val="BodyText"/>
      </w:pPr>
      <w:r>
        <w:t xml:space="preserve">At the project level, AP counts migrants represented, not raw rows. Using</w:t>
      </w:r>
      <w:r>
        <w:t xml:space="preserve"> </w:t>
      </w:r>
      <w:r>
        <w:t xml:space="preserve">that person-level count, the current source tables represent 5,619,982</w:t>
      </w:r>
      <w:r>
        <w:t xml:space="preserve"> </w:t>
      </w:r>
      <w:r>
        <w:t xml:space="preserve">migrants in the original FOIA workbook and 876,058 migrants in the May</w:t>
      </w:r>
      <w:r>
        <w:t xml:space="preserve"> </w:t>
      </w:r>
      <w:r>
        <w:t xml:space="preserve">OFO supplement. Together, before duplicate review and ZIP or detention</w:t>
      </w:r>
      <w:r>
        <w:t xml:space="preserve"> </w:t>
      </w:r>
      <w:r>
        <w:t xml:space="preserve">filtering for public destination analysis, they represent 6,496,040</w:t>
      </w:r>
      <w:r>
        <w:t xml:space="preserve"> </w:t>
      </w:r>
      <w:r>
        <w:t xml:space="preserve">migrants. Because the May supplement contains some multi-subject rows,</w:t>
      </w:r>
      <w:r>
        <w:t xml:space="preserve"> </w:t>
      </w:r>
      <w:r>
        <w:t xml:space="preserve">its person count is higher than its row count.</w:t>
      </w:r>
    </w:p>
    <w:p>
      <w:pPr>
        <w:pStyle w:val="BodyText"/>
      </w:pPr>
      <w:r>
        <w:rPr>
          <w:b/>
          <w:bCs/>
        </w:rPr>
        <w:t xml:space="preserve">The analysis-ready community-destination ZIP set used to build public ZIP</w:t>
      </w:r>
      <w:r>
        <w:rPr>
          <w:b/>
          <w:bCs/>
        </w:rPr>
        <w:t xml:space="preserve"> </w:t>
      </w:r>
      <w:r>
        <w:rPr>
          <w:b/>
          <w:bCs/>
        </w:rPr>
        <w:t xml:space="preserve">findings contains 4,510,850 migrants represented after AP’s</w:t>
      </w:r>
      <w:r>
        <w:rPr>
          <w:b/>
          <w:bCs/>
        </w:rPr>
        <w:t xml:space="preserve"> </w:t>
      </w:r>
      <w:r>
        <w:rPr>
          <w:b/>
          <w:bCs/>
        </w:rPr>
        <w:t xml:space="preserve">duplicate-handling rules, valid-ZIP filtering and detention-location ZIP</w:t>
      </w:r>
      <w:r>
        <w:rPr>
          <w:b/>
          <w:bCs/>
        </w:rPr>
        <w:t xml:space="preserve"> </w:t>
      </w:r>
      <w:r>
        <w:rPr>
          <w:b/>
          <w:bCs/>
        </w:rPr>
        <w:t xml:space="preserve">exclusions are applied. That final set includes 3,652,313 migrants from</w:t>
      </w:r>
      <w:r>
        <w:rPr>
          <w:b/>
          <w:bCs/>
        </w:rPr>
        <w:t xml:space="preserve"> </w:t>
      </w:r>
      <w:r>
        <w:rPr>
          <w:b/>
          <w:bCs/>
        </w:rPr>
        <w:t xml:space="preserve">the original FOIA workbook and 858,537 migrants from the May OFO</w:t>
      </w:r>
      <w:r>
        <w:rPr>
          <w:b/>
          <w:bCs/>
        </w:rPr>
        <w:t xml:space="preserve"> </w:t>
      </w:r>
      <w:r>
        <w:rPr>
          <w:b/>
          <w:bCs/>
        </w:rPr>
        <w:t xml:space="preserve">supplement. That exact denominator is the source of the rounded</w:t>
      </w:r>
      <w:r>
        <w:rPr>
          <w:b/>
          <w:bCs/>
        </w:rPr>
        <w:t xml:space="preserve"> </w:t>
      </w:r>
      <w:r>
        <w:rPr>
          <w:b/>
          <w:bCs/>
        </w:rPr>
        <w:t xml:space="preserve">“about</w:t>
      </w:r>
      <w:r>
        <w:rPr>
          <w:b/>
          <w:bCs/>
        </w:rPr>
        <w:t xml:space="preserve"> </w:t>
      </w:r>
      <w:r>
        <w:rPr>
          <w:b/>
          <w:bCs/>
        </w:rPr>
        <w:t xml:space="preserve">4.5 million”</w:t>
      </w:r>
      <w:r>
        <w:rPr>
          <w:b/>
          <w:bCs/>
        </w:rPr>
        <w:t xml:space="preserve"> </w:t>
      </w:r>
      <w:r>
        <w:rPr>
          <w:b/>
          <w:bCs/>
        </w:rPr>
        <w:t xml:space="preserve">language. It is calculated before the 10-migrant display</w:t>
      </w:r>
      <w:r>
        <w:rPr>
          <w:b/>
          <w:bCs/>
        </w:rPr>
        <w:t xml:space="preserve"> </w:t>
      </w:r>
      <w:r>
        <w:rPr>
          <w:b/>
          <w:bCs/>
        </w:rPr>
        <w:t xml:space="preserve">floor is applied to individual public ZIP outputs.</w:t>
      </w:r>
    </w:p>
    <w:bookmarkEnd w:id="9"/>
    <w:bookmarkStart w:id="10" w:name="X9f2a543ec7e794a4edb09c5d0c5905e7d513a6b"/>
    <w:p>
      <w:pPr>
        <w:pStyle w:val="Heading2"/>
      </w:pPr>
      <w:r>
        <w:t xml:space="preserve">Public privacy rule for ZIP-level findings</w:t>
      </w:r>
    </w:p>
    <w:p>
      <w:pPr>
        <w:pStyle w:val="FirstParagraph"/>
      </w:pPr>
      <w:r>
        <w:t xml:space="preserve">For privacy, AP does not publicly show, map, name, or otherwise identify</w:t>
      </w:r>
      <w:r>
        <w:t xml:space="preserve"> </w:t>
      </w:r>
      <w:r>
        <w:t xml:space="preserve">any ZIP-level count with fewer than 10 migrants. If a story includes</w:t>
      </w:r>
      <w:r>
        <w:t xml:space="preserve"> </w:t>
      </w:r>
      <w:r>
        <w:t xml:space="preserve">writing about such a ZIP code, the story should not specify a number of</w:t>
      </w:r>
      <w:r>
        <w:t xml:space="preserve"> </w:t>
      </w:r>
      <w:r>
        <w:t xml:space="preserve">people if the number is fewer than 10 migrants.</w:t>
      </w:r>
    </w:p>
    <w:p>
      <w:pPr>
        <w:pStyle w:val="BodyText"/>
      </w:pPr>
      <w:r>
        <w:t xml:space="preserve">This rule applies to a ZIP by itself and to any ZIP combined with</w:t>
      </w:r>
      <w:r>
        <w:t xml:space="preserve"> </w:t>
      </w:r>
      <w:r>
        <w:t xml:space="preserve">another variable. For example, a country-ZIP pair such as</w:t>
      </w:r>
      <w:r>
        <w:t xml:space="preserve"> </w:t>
      </w:r>
      <w:r>
        <w:t xml:space="preserve">“people from a</w:t>
      </w:r>
      <w:r>
        <w:t xml:space="preserve"> </w:t>
      </w:r>
      <w:r>
        <w:t xml:space="preserve">specific citizenship recorded with destination ZIP 12345”</w:t>
      </w:r>
      <w:r>
        <w:t xml:space="preserve"> </w:t>
      </w:r>
      <w:r>
        <w:t xml:space="preserve">should not be</w:t>
      </w:r>
      <w:r>
        <w:t xml:space="preserve"> </w:t>
      </w:r>
      <w:r>
        <w:t xml:space="preserve">published if the subject-weighted count is less than 10. The same</w:t>
      </w:r>
      <w:r>
        <w:t xml:space="preserve"> </w:t>
      </w:r>
      <w:r>
        <w:t xml:space="preserve">principle applies to other ZIP-level combinations, such as ZIP plus</w:t>
      </w:r>
      <w:r>
        <w:t xml:space="preserve"> </w:t>
      </w:r>
      <w:r>
        <w:t xml:space="preserve">citizenship, ZIP plus demographic group, ZIP plus time period, or ZIP</w:t>
      </w:r>
      <w:r>
        <w:t xml:space="preserve"> </w:t>
      </w:r>
      <w:r>
        <w:t xml:space="preserve">plus another reporting category.</w:t>
      </w:r>
    </w:p>
    <w:p>
      <w:pPr>
        <w:pStyle w:val="BodyText"/>
      </w:pPr>
      <w:r>
        <w:t xml:space="preserve">The AP-Wide ZIP reports use 10 migrants as the display floor for public</w:t>
      </w:r>
      <w:r>
        <w:t xml:space="preserve"> </w:t>
      </w:r>
      <w:r>
        <w:t xml:space="preserve">ZIP-level outputs. ZIP totals and country-ZIP tables show only rows with</w:t>
      </w:r>
      <w:r>
        <w:t xml:space="preserve"> </w:t>
      </w:r>
      <w:r>
        <w:t xml:space="preserve">at least 10 migrants. Interactive maps do not show ZIPs with fewer than</w:t>
      </w:r>
      <w:r>
        <w:t xml:space="preserve"> </w:t>
      </w:r>
      <w:r>
        <w:t xml:space="preserve">10 migrants as individual points. Low-count ZIPs may appear only as</w:t>
      </w:r>
      <w:r>
        <w:t xml:space="preserve"> </w:t>
      </w:r>
      <w:r>
        <w:t xml:space="preserve">anonymous nearby groups when the grouped total reaches at least 10</w:t>
      </w:r>
      <w:r>
        <w:t xml:space="preserve"> </w:t>
      </w:r>
      <w:r>
        <w:t xml:space="preserve">migrants and the geographic grouping rules described below are met.</w:t>
      </w:r>
    </w:p>
    <w:bookmarkEnd w:id="10"/>
    <w:bookmarkStart w:id="11" w:name="X49ffdb386f7a7d2d43efa348f5f57ffbc1b37e8"/>
    <w:p>
      <w:pPr>
        <w:pStyle w:val="Heading2"/>
      </w:pPr>
      <w:r>
        <w:t xml:space="preserve">How to read AP-provided web table downloads</w:t>
      </w:r>
    </w:p>
    <w:p>
      <w:pPr>
        <w:pStyle w:val="FirstParagraph"/>
      </w:pPr>
      <w:r>
        <w:t xml:space="preserve">The downloadable tables in AP-provided AP-Wide web reports are exports</w:t>
      </w:r>
      <w:r>
        <w:t xml:space="preserve"> </w:t>
      </w:r>
      <w:r>
        <w:t xml:space="preserve">of the displayed public tables. They are not raw extracts of every</w:t>
      </w:r>
      <w:r>
        <w:t xml:space="preserve"> </w:t>
      </w:r>
      <w:r>
        <w:t xml:space="preserve">record in the underlying analysis dataset, and they should not be summed</w:t>
      </w:r>
      <w:r>
        <w:t xml:space="preserve"> </w:t>
      </w:r>
      <w:r>
        <w:t xml:space="preserve">to produce statewide or full-geography totals unless the table is</w:t>
      </w:r>
      <w:r>
        <w:t xml:space="preserve"> </w:t>
      </w:r>
      <w:r>
        <w:t xml:space="preserve">explicitly built for that purpose.</w:t>
      </w:r>
    </w:p>
    <w:p>
      <w:pPr>
        <w:pStyle w:val="BodyText"/>
      </w:pPr>
      <w:r>
        <w:t xml:space="preserve">This matters most for ZIP-level tables on state pages. Public ZIP</w:t>
      </w:r>
      <w:r>
        <w:t xml:space="preserve"> </w:t>
      </w:r>
      <w:r>
        <w:t xml:space="preserve">outputs apply the 10-migrant display floor described above. A ZIP-total</w:t>
      </w:r>
      <w:r>
        <w:t xml:space="preserve"> </w:t>
      </w:r>
      <w:r>
        <w:t xml:space="preserve">table includes only ZIPs with at least 10 migrants. A</w:t>
      </w:r>
      <w:r>
        <w:t xml:space="preserve"> </w:t>
      </w:r>
      <w:r>
        <w:t xml:space="preserve">citizenship-by-ZIP table applies the same floor to each citizenship-ZIP</w:t>
      </w:r>
      <w:r>
        <w:t xml:space="preserve"> </w:t>
      </w:r>
      <w:r>
        <w:t xml:space="preserve">pair, so it can suppress more records than the ZIP-total table. Both</w:t>
      </w:r>
      <w:r>
        <w:t xml:space="preserve"> </w:t>
      </w:r>
      <w:r>
        <w:t xml:space="preserve">tables can be correct while summing to different totals.</w:t>
      </w:r>
    </w:p>
    <w:p>
      <w:pPr>
        <w:pStyle w:val="BodyText"/>
      </w:pPr>
      <w:r>
        <w:t xml:space="preserve">For statewide counts, use the statewide total shown in the report text</w:t>
      </w:r>
      <w:r>
        <w:t xml:space="preserve"> </w:t>
      </w:r>
      <w:r>
        <w:t xml:space="preserve">or the national state rankings table. If working from a separately</w:t>
      </w:r>
      <w:r>
        <w:t xml:space="preserve"> </w:t>
      </w:r>
      <w:r>
        <w:t xml:space="preserve">provided trusted partner record-level export, sum</w:t>
      </w:r>
      <w:r>
        <w:t xml:space="preserve"> </w:t>
      </w:r>
      <w:r>
        <w:rPr>
          <w:rStyle w:val="VerbatimChar"/>
        </w:rPr>
        <w:t xml:space="preserve">subject_count</w:t>
      </w:r>
      <w:r>
        <w:t xml:space="preserve">,</w:t>
      </w:r>
      <w:r>
        <w:t xml:space="preserve"> </w:t>
      </w:r>
      <w:r>
        <w:t xml:space="preserve">filter to the relevant state or Washington, D.C., and exclude rows where</w:t>
      </w:r>
      <w:r>
        <w:t xml:space="preserve"> </w:t>
      </w:r>
      <w:r>
        <w:rPr>
          <w:rStyle w:val="VerbatimChar"/>
        </w:rPr>
        <w:t xml:space="preserve">is_detention_zip == TRUE</w:t>
      </w:r>
      <w:r>
        <w:t xml:space="preserve"> </w:t>
      </w:r>
      <w:r>
        <w:t xml:space="preserve">unless the analysis is explicitly reviewing</w:t>
      </w:r>
      <w:r>
        <w:t xml:space="preserve"> </w:t>
      </w:r>
      <w:r>
        <w:t xml:space="preserve">detention-location records.</w:t>
      </w:r>
    </w:p>
    <w:p>
      <w:pPr>
        <w:pStyle w:val="BodyText"/>
      </w:pPr>
      <w:r>
        <w:t xml:space="preserve">For example, a public New York report total can be larger than the sum</w:t>
      </w:r>
      <w:r>
        <w:t xml:space="preserve"> </w:t>
      </w:r>
      <w:r>
        <w:t xml:space="preserve">of the downloadable ZIP-total table because New York ZIPs with fewer</w:t>
      </w:r>
      <w:r>
        <w:t xml:space="preserve"> </w:t>
      </w:r>
      <w:r>
        <w:t xml:space="preserve">than 10 migrants are included in the statewide total but not displayed</w:t>
      </w:r>
      <w:r>
        <w:t xml:space="preserve"> </w:t>
      </w:r>
      <w:r>
        <w:t xml:space="preserve">as individual public table rows. The citizenship-by-ZIP download can be</w:t>
      </w:r>
      <w:r>
        <w:t xml:space="preserve"> </w:t>
      </w:r>
      <w:r>
        <w:t xml:space="preserve">lower still because small citizenship-ZIP combinations are also</w:t>
      </w:r>
      <w:r>
        <w:t xml:space="preserve"> </w:t>
      </w:r>
      <w:r>
        <w:t xml:space="preserve">suppressed.</w:t>
      </w:r>
    </w:p>
    <w:bookmarkEnd w:id="11"/>
    <w:bookmarkStart w:id="13" w:name="what-the-source-data-represents"/>
    <w:p>
      <w:pPr>
        <w:pStyle w:val="Heading2"/>
      </w:pPr>
      <w:r>
        <w:t xml:space="preserve">What the source data represents</w:t>
      </w:r>
    </w:p>
    <w:p>
      <w:pPr>
        <w:pStyle w:val="FirstParagraph"/>
      </w:pPr>
      <w:r>
        <w:t xml:space="preserve">The data is based on CBP records of migrants encountered or arrested at</w:t>
      </w:r>
      <w:r>
        <w:t xml:space="preserve"> </w:t>
      </w:r>
      <w:r>
        <w:t xml:space="preserve">the border. One field in those records gives a destination ZIP code</w:t>
      </w:r>
      <w:r>
        <w:t xml:space="preserve"> </w:t>
      </w:r>
      <w:r>
        <w:t xml:space="preserve">inside the United States. The ZIP field reflects where a person was</w:t>
      </w:r>
      <w:r>
        <w:t xml:space="preserve"> </w:t>
      </w:r>
      <w:r>
        <w:t xml:space="preserve">recorded as saying they were headed at the time they were encountered,</w:t>
      </w:r>
      <w:r>
        <w:t xml:space="preserve"> </w:t>
      </w:r>
      <w:r>
        <w:t xml:space="preserve">not necessarily where they still are today.</w:t>
      </w:r>
    </w:p>
    <w:p>
      <w:pPr>
        <w:pStyle w:val="BodyText"/>
      </w:pPr>
      <w:r>
        <w:t xml:space="preserve">For that reason, the data should be described as reported onward</w:t>
      </w:r>
      <w:r>
        <w:t xml:space="preserve"> </w:t>
      </w:r>
      <w:r>
        <w:t xml:space="preserve">destinations or recorded destination ZIPs. It should not be treated as</w:t>
      </w:r>
      <w:r>
        <w:t xml:space="preserve"> </w:t>
      </w:r>
      <w:r>
        <w:t xml:space="preserve">proof of current residence today, settlement, sponsorship, or long-term</w:t>
      </w:r>
      <w:r>
        <w:t xml:space="preserve"> </w:t>
      </w:r>
      <w:r>
        <w:t xml:space="preserve">migration.</w:t>
      </w:r>
    </w:p>
    <w:p>
      <w:pPr>
        <w:pStyle w:val="BodyText"/>
      </w:pPr>
      <w:r>
        <w:t xml:space="preserve">The data also does not cover all migration into the United States. It is</w:t>
      </w:r>
      <w:r>
        <w:t xml:space="preserve"> </w:t>
      </w:r>
      <w:r>
        <w:t xml:space="preserve">tied to the CBP records from the southern U.S. border included in the</w:t>
      </w:r>
      <w:r>
        <w:t xml:space="preserve"> </w:t>
      </w:r>
      <w:r>
        <w:t xml:space="preserve">FOIA releases, and so migrants arriving through other means, such as</w:t>
      </w:r>
      <w:r>
        <w:t xml:space="preserve"> </w:t>
      </w:r>
      <w:r>
        <w:t xml:space="preserve">airports or the northern border, are not included. Missing ZIPs,</w:t>
      </w:r>
      <w:r>
        <w:t xml:space="preserve"> </w:t>
      </w:r>
      <w:r>
        <w:t xml:space="preserve">inconsistent entries, and later corrections or supplements affect the</w:t>
      </w:r>
      <w:r>
        <w:t xml:space="preserve"> </w:t>
      </w:r>
      <w:r>
        <w:t xml:space="preserve">analysis.</w:t>
      </w:r>
    </w:p>
    <w:bookmarkStart w:id="12" w:name="asylum-parole-and-release-context"/>
    <w:p>
      <w:pPr>
        <w:pStyle w:val="Heading3"/>
      </w:pPr>
      <w:r>
        <w:t xml:space="preserve">Asylum, parole and release context</w:t>
      </w:r>
    </w:p>
    <w:p>
      <w:pPr>
        <w:pStyle w:val="FirstParagraph"/>
      </w:pPr>
      <w:r>
        <w:t xml:space="preserve">Under U.S. and international law, anyone on U.S. soil can apply for</w:t>
      </w:r>
      <w:r>
        <w:t xml:space="preserve"> </w:t>
      </w:r>
      <w:r>
        <w:t xml:space="preserve">asylum, even if they entered the country illegally or overstayed a visa.</w:t>
      </w:r>
      <w:r>
        <w:t xml:space="preserve"> </w:t>
      </w:r>
      <w:r>
        <w:t xml:space="preserve">They can remain in the country while their asylum claim is pending and</w:t>
      </w:r>
      <w:r>
        <w:t xml:space="preserve"> </w:t>
      </w:r>
      <w:r>
        <w:t xml:space="preserve">are eligible for work permits six months after applying.</w:t>
      </w:r>
    </w:p>
    <w:p>
      <w:pPr>
        <w:pStyle w:val="BodyText"/>
      </w:pPr>
      <w:r>
        <w:t xml:space="preserve">There are two kinds of asylum claims.</w:t>
      </w:r>
      <w:r>
        <w:t xml:space="preserve"> </w:t>
      </w:r>
      <w:r>
        <w:t xml:space="preserve">“Affirmative”</w:t>
      </w:r>
      <w:r>
        <w:t xml:space="preserve"> </w:t>
      </w:r>
      <w:r>
        <w:t xml:space="preserve">claims are for</w:t>
      </w:r>
      <w:r>
        <w:t xml:space="preserve"> </w:t>
      </w:r>
      <w:r>
        <w:t xml:space="preserve">people who entered legally and applied ahead of a one-year deadline from</w:t>
      </w:r>
      <w:r>
        <w:t xml:space="preserve"> </w:t>
      </w:r>
      <w:r>
        <w:t xml:space="preserve">date of entry, including tourists who overstay visas. These claims are</w:t>
      </w:r>
      <w:r>
        <w:t xml:space="preserve"> </w:t>
      </w:r>
      <w:r>
        <w:t xml:space="preserve">adjudicated by asylum officers at U.S. Citizenship and Immigration</w:t>
      </w:r>
      <w:r>
        <w:t xml:space="preserve"> </w:t>
      </w:r>
      <w:r>
        <w:t xml:space="preserve">Services in a nonadversarial interview setting.</w:t>
      </w:r>
      <w:r>
        <w:t xml:space="preserve"> </w:t>
      </w:r>
      <w:r>
        <w:t xml:space="preserve">“Defensive”</w:t>
      </w:r>
      <w:r>
        <w:t xml:space="preserve"> </w:t>
      </w:r>
      <w:r>
        <w:t xml:space="preserve">claims are</w:t>
      </w:r>
      <w:r>
        <w:t xml:space="preserve"> </w:t>
      </w:r>
      <w:r>
        <w:t xml:space="preserve">for people who cross the border illegally and tell Border Patrol agents</w:t>
      </w:r>
      <w:r>
        <w:t xml:space="preserve"> </w:t>
      </w:r>
      <w:r>
        <w:t xml:space="preserve">they fear being returned. These claims are decided by an immigration</w:t>
      </w:r>
      <w:r>
        <w:t xml:space="preserve"> </w:t>
      </w:r>
      <w:r>
        <w:t xml:space="preserve">judge with ICE attorneys as prosecutors.</w:t>
      </w:r>
    </w:p>
    <w:p>
      <w:pPr>
        <w:pStyle w:val="BodyText"/>
      </w:pPr>
      <w:r>
        <w:t xml:space="preserve">The Biden administration severely restricted asylum at the border in</w:t>
      </w:r>
      <w:r>
        <w:t xml:space="preserve"> </w:t>
      </w:r>
      <w:r>
        <w:t xml:space="preserve">June 2024, and Trump suspended it entirely upon taking office, a move</w:t>
      </w:r>
      <w:r>
        <w:t xml:space="preserve"> </w:t>
      </w:r>
      <w:r>
        <w:t xml:space="preserve">that is being challenged in court.</w:t>
      </w:r>
    </w:p>
    <w:p>
      <w:pPr>
        <w:pStyle w:val="BodyText"/>
      </w:pPr>
      <w:r>
        <w:t xml:space="preserve">Of the 4,510,850 migrants represented in AP’s cleaned destination</w:t>
      </w:r>
      <w:r>
        <w:t xml:space="preserve"> </w:t>
      </w:r>
      <w:r>
        <w:t xml:space="preserve">analysis, about 3.7 million came from the first data set. Over the last</w:t>
      </w:r>
      <w:r>
        <w:t xml:space="preserve"> </w:t>
      </w:r>
      <w:r>
        <w:t xml:space="preserve">decade, people who crossed the border illegally could be detained and</w:t>
      </w:r>
      <w:r>
        <w:t xml:space="preserve"> </w:t>
      </w:r>
      <w:r>
        <w:t xml:space="preserve">screened to determine whether their fears of return were credible enough</w:t>
      </w:r>
      <w:r>
        <w:t xml:space="preserve"> </w:t>
      </w:r>
      <w:r>
        <w:t xml:space="preserve">to merit a judge’s consideration. In practice, this did not happen.</w:t>
      </w:r>
      <w:r>
        <w:t xml:space="preserve"> </w:t>
      </w:r>
      <w:r>
        <w:t xml:space="preserve">People were released by the Border Patrol with notices to appear in</w:t>
      </w:r>
      <w:r>
        <w:t xml:space="preserve"> </w:t>
      </w:r>
      <w:r>
        <w:t xml:space="preserve">immigration court or report to an ICE office nearest to their</w:t>
      </w:r>
      <w:r>
        <w:t xml:space="preserve"> </w:t>
      </w:r>
      <w:r>
        <w:t xml:space="preserve">self-reported destination. Waiting times ballooned as courts were</w:t>
      </w:r>
      <w:r>
        <w:t xml:space="preserve"> </w:t>
      </w:r>
      <w:r>
        <w:t xml:space="preserve">overwhelmed. In 2023, some initial appointments were more than 10 years</w:t>
      </w:r>
      <w:r>
        <w:t xml:space="preserve"> </w:t>
      </w:r>
      <w:r>
        <w:t xml:space="preserve">out. During this time, they could stay and work legally.</w:t>
      </w:r>
    </w:p>
    <w:p>
      <w:pPr>
        <w:pStyle w:val="BodyText"/>
      </w:pPr>
      <w:r>
        <w:t xml:space="preserve">Others, about 860,000 people in the second data set, entered the</w:t>
      </w:r>
      <w:r>
        <w:t xml:space="preserve"> </w:t>
      </w:r>
      <w:r>
        <w:t xml:space="preserve">country at a land crossing with Mexico on humanitarian parole, which</w:t>
      </w:r>
      <w:r>
        <w:t xml:space="preserve"> </w:t>
      </w:r>
      <w:r>
        <w:t xml:space="preserve">typically lasts two years and includes eligibility for a work permit.</w:t>
      </w:r>
      <w:r>
        <w:t xml:space="preserve"> </w:t>
      </w:r>
      <w:r>
        <w:t xml:space="preserve">The vast majority came on a now-defunct mobile phone app called CBP One,</w:t>
      </w:r>
      <w:r>
        <w:t xml:space="preserve"> </w:t>
      </w:r>
      <w:r>
        <w:t xml:space="preserve">which allowed entry for 1,450 people a day. They did not have to say</w:t>
      </w:r>
      <w:r>
        <w:t xml:space="preserve"> </w:t>
      </w:r>
      <w:r>
        <w:t xml:space="preserve">they feared returning home or give any reason for wanting to come to the</w:t>
      </w:r>
      <w:r>
        <w:t xml:space="preserve"> </w:t>
      </w:r>
      <w:r>
        <w:t xml:space="preserve">United States. A smaller number without appointments showed up at a land</w:t>
      </w:r>
      <w:r>
        <w:t xml:space="preserve"> </w:t>
      </w:r>
      <w:r>
        <w:t xml:space="preserve">crossing to plead with border inspectors, typically saying their lives</w:t>
      </w:r>
      <w:r>
        <w:t xml:space="preserve"> </w:t>
      </w:r>
      <w:r>
        <w:t xml:space="preserve">were in immediate danger because of a medical condition, kidnapping</w:t>
      </w:r>
      <w:r>
        <w:t xml:space="preserve"> </w:t>
      </w:r>
      <w:r>
        <w:t xml:space="preserve">threat or something else. Anyone in this second group can make an</w:t>
      </w:r>
      <w:r>
        <w:t xml:space="preserve"> </w:t>
      </w:r>
      <w:r>
        <w:t xml:space="preserve">“affirmative”</w:t>
      </w:r>
      <w:r>
        <w:t xml:space="preserve"> </w:t>
      </w:r>
      <w:r>
        <w:t xml:space="preserve">asylum claim before the one-year deadline.</w:t>
      </w:r>
    </w:p>
    <w:p>
      <w:pPr>
        <w:pStyle w:val="BodyText"/>
      </w:pPr>
      <w:r>
        <w:t xml:space="preserve">CBP is required to collect known street addresses for each person it</w:t>
      </w:r>
      <w:r>
        <w:t xml:space="preserve"> </w:t>
      </w:r>
      <w:r>
        <w:t xml:space="preserve">releases at the border with notices to appear in court or report to ICE.</w:t>
      </w:r>
      <w:r>
        <w:t xml:space="preserve"> </w:t>
      </w:r>
      <w:r>
        <w:t xml:space="preserve">Those addresses are where migrants said they would go. It does not mean</w:t>
      </w:r>
      <w:r>
        <w:t xml:space="preserve"> </w:t>
      </w:r>
      <w:r>
        <w:t xml:space="preserve">they did, though they are legally required to keep authorities informed</w:t>
      </w:r>
      <w:r>
        <w:t xml:space="preserve"> </w:t>
      </w:r>
      <w:r>
        <w:t xml:space="preserve">of where they live. They may have moved elsewhere after their initial</w:t>
      </w:r>
      <w:r>
        <w:t xml:space="preserve"> </w:t>
      </w:r>
      <w:r>
        <w:t xml:space="preserve">destination or may have left the country voluntarily or involuntarily.</w:t>
      </w:r>
      <w:r>
        <w:t xml:space="preserve"> </w:t>
      </w:r>
      <w:r>
        <w:t xml:space="preserve">The data represents their initial destinations.</w:t>
      </w:r>
    </w:p>
    <w:bookmarkEnd w:id="12"/>
    <w:bookmarkEnd w:id="13"/>
    <w:bookmarkStart w:id="14" w:name="caveats-to-include-in-reporting"/>
    <w:p>
      <w:pPr>
        <w:pStyle w:val="Heading2"/>
      </w:pPr>
      <w:r>
        <w:t xml:space="preserve">Caveats to include in reporting</w:t>
      </w:r>
    </w:p>
    <w:p>
      <w:pPr>
        <w:pStyle w:val="FirstParagraph"/>
      </w:pPr>
      <w:r>
        <w:t xml:space="preserve">Users should carry several caveats into any story, chart, or map based</w:t>
      </w:r>
      <w:r>
        <w:t xml:space="preserve"> </w:t>
      </w:r>
      <w:r>
        <w:t xml:space="preserve">on the AP-Wide report pages:</w:t>
      </w:r>
    </w:p>
    <w:p>
      <w:pPr>
        <w:numPr>
          <w:ilvl w:val="0"/>
          <w:numId w:val="1001"/>
        </w:numPr>
      </w:pPr>
      <w:r>
        <w:t xml:space="preserve">The ZIP field is a recorded onward destination as reported by the</w:t>
      </w:r>
      <w:r>
        <w:t xml:space="preserve"> </w:t>
      </w:r>
      <w:r>
        <w:t xml:space="preserve">migrant, not confirmed final residence.</w:t>
      </w:r>
    </w:p>
    <w:p>
      <w:pPr>
        <w:numPr>
          <w:ilvl w:val="0"/>
          <w:numId w:val="1001"/>
        </w:numPr>
      </w:pPr>
      <w:r>
        <w:t xml:space="preserve">ZIPs were cleaned and validated; malformed or unrecognized ZIPs were</w:t>
      </w:r>
      <w:r>
        <w:t xml:space="preserve"> </w:t>
      </w:r>
      <w:r>
        <w:t xml:space="preserve">excluded from ZIP-based analysis.</w:t>
      </w:r>
    </w:p>
    <w:p>
      <w:pPr>
        <w:numPr>
          <w:ilvl w:val="0"/>
          <w:numId w:val="1001"/>
        </w:numPr>
      </w:pPr>
      <w:r>
        <w:t xml:space="preserve">Known detention-facility ZIPs were excluded from public ZIP-based</w:t>
      </w:r>
      <w:r>
        <w:t xml:space="preserve"> </w:t>
      </w:r>
      <w:r>
        <w:t xml:space="preserve">destination analysis.</w:t>
      </w:r>
    </w:p>
    <w:p>
      <w:pPr>
        <w:numPr>
          <w:ilvl w:val="0"/>
          <w:numId w:val="1001"/>
        </w:numPr>
      </w:pPr>
      <w:r>
        <w:t xml:space="preserve">Per-capita ZIP comparisons use Census ZCTA population estimates, which</w:t>
      </w:r>
      <w:r>
        <w:t xml:space="preserve"> </w:t>
      </w:r>
      <w:r>
        <w:t xml:space="preserve">approximate ZIP geography.</w:t>
      </w:r>
    </w:p>
    <w:p>
      <w:pPr>
        <w:numPr>
          <w:ilvl w:val="0"/>
          <w:numId w:val="1001"/>
        </w:numPr>
      </w:pPr>
      <w:r>
        <w:t xml:space="preserve">National state per-capita comparisons use ACS 2019-2023 state-level</w:t>
      </w:r>
      <w:r>
        <w:t xml:space="preserve"> </w:t>
      </w:r>
      <w:r>
        <w:t xml:space="preserve">total population estimates for the 50 states and Washington, D.C.</w:t>
      </w:r>
    </w:p>
    <w:p>
      <w:pPr>
        <w:numPr>
          <w:ilvl w:val="0"/>
          <w:numId w:val="1001"/>
        </w:numPr>
      </w:pPr>
      <w:r>
        <w:t xml:space="preserve">AP-provided web table downloads reflect displayed public table rows.</w:t>
      </w:r>
      <w:r>
        <w:t xml:space="preserve"> </w:t>
      </w:r>
      <w:r>
        <w:t xml:space="preserve">Do not sum thresholded ZIP or citizenship-ZIP downloads to produce</w:t>
      </w:r>
      <w:r>
        <w:t xml:space="preserve"> </w:t>
      </w:r>
      <w:r>
        <w:t xml:space="preserve">statewide totals.</w:t>
      </w:r>
    </w:p>
    <w:p>
      <w:pPr>
        <w:numPr>
          <w:ilvl w:val="0"/>
          <w:numId w:val="1001"/>
        </w:numPr>
      </w:pPr>
      <w:r>
        <w:t xml:space="preserve">Broad time-series analysis should be avoided because the two releases</w:t>
      </w:r>
      <w:r>
        <w:t xml:space="preserve"> </w:t>
      </w:r>
      <w:r>
        <w:t xml:space="preserve">cover different periods, have different date precision, and the May</w:t>
      </w:r>
      <w:r>
        <w:t xml:space="preserve"> </w:t>
      </w:r>
      <w:r>
        <w:t xml:space="preserve">supplement is concentrated in 2023 and 2024. AP used per-population</w:t>
      </w:r>
      <w:r>
        <w:t xml:space="preserve"> </w:t>
      </w:r>
      <w:r>
        <w:t xml:space="preserve">comparisons as the main way to identify areas with especially large</w:t>
      </w:r>
      <w:r>
        <w:t xml:space="preserve"> </w:t>
      </w:r>
      <w:r>
        <w:t xml:space="preserve">recorded destinations relative to local population.</w:t>
      </w:r>
    </w:p>
    <w:bookmarkEnd w:id="14"/>
    <w:bookmarkStart w:id="15" w:name="zip-code-cleanup"/>
    <w:p>
      <w:pPr>
        <w:pStyle w:val="Heading2"/>
      </w:pPr>
      <w:r>
        <w:t xml:space="preserve">ZIP-code cleanup</w:t>
      </w:r>
    </w:p>
    <w:p>
      <w:pPr>
        <w:pStyle w:val="FirstParagraph"/>
      </w:pPr>
      <w:r>
        <w:t xml:space="preserve">ZIP codes were one of the largest cleanup issues.</w:t>
      </w:r>
    </w:p>
    <w:p>
      <w:pPr>
        <w:pStyle w:val="BodyText"/>
      </w:pPr>
      <w:r>
        <w:t xml:space="preserve">ZIP codes are labels, not quantities. They may contain leading zeros,</w:t>
      </w:r>
      <w:r>
        <w:t xml:space="preserve"> </w:t>
      </w:r>
      <w:r>
        <w:t xml:space="preserve">and those leading zeros matter. In the source material, some ZIPs that</w:t>
      </w:r>
      <w:r>
        <w:t xml:space="preserve"> </w:t>
      </w:r>
      <w:r>
        <w:t xml:space="preserve">should have started with zero arrived as four-digit values because Excel</w:t>
      </w:r>
      <w:r>
        <w:t xml:space="preserve"> </w:t>
      </w:r>
      <w:r>
        <w:t xml:space="preserve">or another system had treated them like numbers.</w:t>
      </w:r>
    </w:p>
    <w:p>
      <w:pPr>
        <w:pStyle w:val="BodyText"/>
      </w:pPr>
      <w:r>
        <w:t xml:space="preserve">For example:</w:t>
      </w:r>
    </w:p>
    <w:p>
      <w:pPr>
        <w:numPr>
          <w:ilvl w:val="0"/>
          <w:numId w:val="1002"/>
        </w:numPr>
      </w:pPr>
      <w:r>
        <w:t xml:space="preserve">07105 could appear as 7105</w:t>
      </w:r>
    </w:p>
    <w:p>
      <w:pPr>
        <w:numPr>
          <w:ilvl w:val="0"/>
          <w:numId w:val="1002"/>
        </w:numPr>
      </w:pPr>
      <w:r>
        <w:t xml:space="preserve">01702 could appear as 1702</w:t>
      </w:r>
    </w:p>
    <w:p>
      <w:pPr>
        <w:numPr>
          <w:ilvl w:val="0"/>
          <w:numId w:val="1002"/>
        </w:numPr>
      </w:pPr>
      <w:r>
        <w:t xml:space="preserve">08611 could appear as 8611</w:t>
      </w:r>
    </w:p>
    <w:p>
      <w:pPr>
        <w:pStyle w:val="FirstParagraph"/>
      </w:pPr>
      <w:r>
        <w:t xml:space="preserve">ZIP cleanup included:</w:t>
      </w:r>
    </w:p>
    <w:p>
      <w:pPr>
        <w:numPr>
          <w:ilvl w:val="0"/>
          <w:numId w:val="1003"/>
        </w:numPr>
      </w:pPr>
      <w:r>
        <w:t xml:space="preserve">blank strings were treated as missing</w:t>
      </w:r>
    </w:p>
    <w:p>
      <w:pPr>
        <w:numPr>
          <w:ilvl w:val="0"/>
          <w:numId w:val="1003"/>
        </w:numPr>
      </w:pPr>
      <w:r>
        <w:t xml:space="preserve">harmless numeric endings, such as .0, were removed</w:t>
      </w:r>
    </w:p>
    <w:p>
      <w:pPr>
        <w:numPr>
          <w:ilvl w:val="0"/>
          <w:numId w:val="1003"/>
        </w:numPr>
      </w:pPr>
      <w:r>
        <w:t xml:space="preserve">numeric-looking ZIPs were padded to five digits when appropriate</w:t>
      </w:r>
    </w:p>
    <w:p>
      <w:pPr>
        <w:numPr>
          <w:ilvl w:val="0"/>
          <w:numId w:val="1003"/>
        </w:numPr>
      </w:pPr>
      <w:r>
        <w:t xml:space="preserve">cleaned ZIPs were checked against a ZIP reference table</w:t>
      </w:r>
    </w:p>
    <w:p>
      <w:pPr>
        <w:numPr>
          <w:ilvl w:val="0"/>
          <w:numId w:val="1003"/>
        </w:numPr>
      </w:pPr>
      <w:r>
        <w:t xml:space="preserve">malformed values and values not found in the ZIP reference table were</w:t>
      </w:r>
      <w:r>
        <w:t xml:space="preserve"> </w:t>
      </w:r>
      <w:r>
        <w:t xml:space="preserve">treated as missing for ZIP-based analysis</w:t>
      </w:r>
    </w:p>
    <w:p>
      <w:pPr>
        <w:pStyle w:val="FirstParagraph"/>
      </w:pPr>
      <w:r>
        <w:t xml:space="preserve">A non-empty source value was not automatically accepted as a valid</w:t>
      </w:r>
      <w:r>
        <w:t xml:space="preserve"> </w:t>
      </w:r>
      <w:r>
        <w:t xml:space="preserve">destination ZIP. Entries such as placeholders, text fragments, or</w:t>
      </w:r>
      <w:r>
        <w:t xml:space="preserve"> </w:t>
      </w:r>
      <w:r>
        <w:t xml:space="preserve">impossible ZIPs were excluded from ZIP-based analysis.</w:t>
      </w:r>
    </w:p>
    <w:p>
      <w:pPr>
        <w:pStyle w:val="BodyText"/>
      </w:pPr>
      <w:r>
        <w:t xml:space="preserve">Examples of source values treated as missing or invalid include blank</w:t>
      </w:r>
      <w:r>
        <w:t xml:space="preserve"> </w:t>
      </w:r>
      <w:r>
        <w:t xml:space="preserve">ZIP fields, text-like entries such as city or country fragments,</w:t>
      </w:r>
      <w:r>
        <w:t xml:space="preserve"> </w:t>
      </w:r>
      <w:r>
        <w:t xml:space="preserve">placeholder numbers such as 0 or 11111, and numeric values with the</w:t>
      </w:r>
      <w:r>
        <w:t xml:space="preserve"> </w:t>
      </w:r>
      <w:r>
        <w:t xml:space="preserve">wrong length. Some short numeric-looking values were retained only when</w:t>
      </w:r>
      <w:r>
        <w:t xml:space="preserve"> </w:t>
      </w:r>
      <w:r>
        <w:t xml:space="preserve">they could be padded to a valid five-digit ZIP in the reference table.</w:t>
      </w:r>
    </w:p>
    <w:bookmarkEnd w:id="15"/>
    <w:bookmarkStart w:id="16" w:name="date-and-fiscal-year-cleanup"/>
    <w:p>
      <w:pPr>
        <w:pStyle w:val="Heading2"/>
      </w:pPr>
      <w:r>
        <w:t xml:space="preserve">Date and fiscal-year cleanup</w:t>
      </w:r>
    </w:p>
    <w:p>
      <w:pPr>
        <w:pStyle w:val="FirstParagraph"/>
      </w:pPr>
      <w:r>
        <w:t xml:space="preserve">Arrest dates were checked before fiscal-year analysis. Dates outside the</w:t>
      </w:r>
      <w:r>
        <w:t xml:space="preserve"> </w:t>
      </w:r>
      <w:r>
        <w:t xml:space="preserve">expected project window were treated as invalid rather than allowed to</w:t>
      </w:r>
      <w:r>
        <w:t xml:space="preserve"> </w:t>
      </w:r>
      <w:r>
        <w:t xml:space="preserve">produce misleading fiscal years.</w:t>
      </w:r>
    </w:p>
    <w:p>
      <w:pPr>
        <w:pStyle w:val="BodyText"/>
      </w:pPr>
      <w:r>
        <w:t xml:space="preserve">This matters because date problems can create false years. For example,</w:t>
      </w:r>
      <w:r>
        <w:t xml:space="preserve"> </w:t>
      </w:r>
      <w:r>
        <w:t xml:space="preserve">an Excel-origin artifact can appear as a date near the start of 1900. If</w:t>
      </w:r>
      <w:r>
        <w:t xml:space="preserve"> </w:t>
      </w:r>
      <w:r>
        <w:t xml:space="preserve">that kind of value is allowed through, it can create a fake fiscal year</w:t>
      </w:r>
      <w:r>
        <w:t xml:space="preserve"> </w:t>
      </w:r>
      <w:r>
        <w:t xml:space="preserve">and distort trend sections.</w:t>
      </w:r>
    </w:p>
    <w:p>
      <w:pPr>
        <w:pStyle w:val="BodyText"/>
      </w:pPr>
      <w:r>
        <w:t xml:space="preserve">The cleaned approach is to validate the date first, then derive fiscal</w:t>
      </w:r>
      <w:r>
        <w:t xml:space="preserve"> </w:t>
      </w:r>
      <w:r>
        <w:t xml:space="preserve">year from the cleaned date.</w:t>
      </w:r>
    </w:p>
    <w:bookmarkEnd w:id="16"/>
    <w:bookmarkStart w:id="17" w:name="missing-destination-zips"/>
    <w:p>
      <w:pPr>
        <w:pStyle w:val="Heading2"/>
      </w:pPr>
      <w:r>
        <w:t xml:space="preserve">Missing destination ZIPs</w:t>
      </w:r>
    </w:p>
    <w:p>
      <w:pPr>
        <w:pStyle w:val="FirstParagraph"/>
      </w:pPr>
      <w:r>
        <w:t xml:space="preserve">A missing ZIP can reflect several situations: the information was not</w:t>
      </w:r>
      <w:r>
        <w:t xml:space="preserve"> </w:t>
      </w:r>
      <w:r>
        <w:t xml:space="preserve">collected, was not entered, was not applicable, was lost in processing</w:t>
      </w:r>
      <w:r>
        <w:t xml:space="preserve"> </w:t>
      </w:r>
      <w:r>
        <w:t xml:space="preserve">before the FOIA release, or appears in a duplicate-like record where</w:t>
      </w:r>
      <w:r>
        <w:t xml:space="preserve"> </w:t>
      </w:r>
      <w:r>
        <w:t xml:space="preserve">another row carries the ZIP.</w:t>
      </w:r>
    </w:p>
    <w:p>
      <w:pPr>
        <w:pStyle w:val="BodyText"/>
      </w:pPr>
      <w:r>
        <w:t xml:space="preserve">For that reason, analyses that focus on ZIP destinations use only</w:t>
      </w:r>
      <w:r>
        <w:t xml:space="preserve"> </w:t>
      </w:r>
      <w:r>
        <w:t xml:space="preserve">records with usable ZIPs, but overall counts should be clear about</w:t>
      </w:r>
      <w:r>
        <w:t xml:space="preserve"> </w:t>
      </w:r>
      <w:r>
        <w:t xml:space="preserve">whether they describe all subjects or only the subset with usable ZIPs.</w:t>
      </w:r>
    </w:p>
    <w:p>
      <w:pPr>
        <w:pStyle w:val="BodyText"/>
      </w:pPr>
      <w:r>
        <w:t xml:space="preserve">This distinction matters for country-focused reporting. A count of all</w:t>
      </w:r>
      <w:r>
        <w:t xml:space="preserve"> </w:t>
      </w:r>
      <w:r>
        <w:t xml:space="preserve">subjects from a country is not the same as a count of subjects from that</w:t>
      </w:r>
      <w:r>
        <w:t xml:space="preserve"> </w:t>
      </w:r>
      <w:r>
        <w:t xml:space="preserve">country with usable destination ZIPs.</w:t>
      </w:r>
    </w:p>
    <w:bookmarkEnd w:id="17"/>
    <w:bookmarkStart w:id="18" w:name="potential-duplicates"/>
    <w:p>
      <w:pPr>
        <w:pStyle w:val="Heading2"/>
      </w:pPr>
      <w:r>
        <w:t xml:space="preserve">Potential duplicates</w:t>
      </w:r>
    </w:p>
    <w:p>
      <w:pPr>
        <w:pStyle w:val="FirstParagraph"/>
      </w:pPr>
      <w:r>
        <w:t xml:space="preserve">The source data contains records that can look duplicative. AP treated</w:t>
      </w:r>
      <w:r>
        <w:t xml:space="preserve"> </w:t>
      </w:r>
      <w:r>
        <w:t xml:space="preserve">duplicate handling as an analytical decision, not a simple mechanical</w:t>
      </w:r>
      <w:r>
        <w:t xml:space="preserve"> </w:t>
      </w:r>
      <w:r>
        <w:t xml:space="preserve">cleanup.</w:t>
      </w:r>
    </w:p>
    <w:p>
      <w:pPr>
        <w:pStyle w:val="BodyText"/>
      </w:pPr>
      <w:r>
        <w:t xml:space="preserve">The goal was to identify likely duplicate-like groups without</w:t>
      </w:r>
      <w:r>
        <w:t xml:space="preserve"> </w:t>
      </w:r>
      <w:r>
        <w:t xml:space="preserve">accidentally removing valid records or collapsing distinct aggregate</w:t>
      </w:r>
      <w:r>
        <w:t xml:space="preserve"> </w:t>
      </w:r>
      <w:r>
        <w:t xml:space="preserve">records.</w:t>
      </w:r>
    </w:p>
    <w:p>
      <w:pPr>
        <w:pStyle w:val="BodyText"/>
      </w:pPr>
      <w:r>
        <w:t xml:space="preserve">The analysis uses a demographic and source-aware key to compare records.</w:t>
      </w:r>
      <w:r>
        <w:t xml:space="preserve"> </w:t>
      </w:r>
      <w:r>
        <w:t xml:space="preserve">That key includes:</w:t>
      </w:r>
    </w:p>
    <w:p>
      <w:pPr>
        <w:numPr>
          <w:ilvl w:val="0"/>
          <w:numId w:val="1004"/>
        </w:numPr>
      </w:pPr>
      <w:r>
        <w:t xml:space="preserve">source release</w:t>
      </w:r>
    </w:p>
    <w:p>
      <w:pPr>
        <w:numPr>
          <w:ilvl w:val="0"/>
          <w:numId w:val="1004"/>
        </w:numPr>
      </w:pPr>
      <w:r>
        <w:t xml:space="preserve">arrest date</w:t>
      </w:r>
    </w:p>
    <w:p>
      <w:pPr>
        <w:numPr>
          <w:ilvl w:val="0"/>
          <w:numId w:val="1004"/>
        </w:numPr>
      </w:pPr>
      <w:r>
        <w:t xml:space="preserve">citizenship</w:t>
      </w:r>
    </w:p>
    <w:p>
      <w:pPr>
        <w:numPr>
          <w:ilvl w:val="0"/>
          <w:numId w:val="1004"/>
        </w:numPr>
      </w:pPr>
      <w:r>
        <w:t xml:space="preserve">age</w:t>
      </w:r>
    </w:p>
    <w:p>
      <w:pPr>
        <w:numPr>
          <w:ilvl w:val="0"/>
          <w:numId w:val="1004"/>
        </w:numPr>
      </w:pPr>
      <w:r>
        <w:t xml:space="preserve">gender</w:t>
      </w:r>
    </w:p>
    <w:p>
      <w:pPr>
        <w:numPr>
          <w:ilvl w:val="0"/>
          <w:numId w:val="1004"/>
        </w:numPr>
      </w:pPr>
      <w:r>
        <w:t xml:space="preserve">subject count</w:t>
      </w:r>
    </w:p>
    <w:p>
      <w:pPr>
        <w:numPr>
          <w:ilvl w:val="0"/>
          <w:numId w:val="1004"/>
        </w:numPr>
      </w:pPr>
      <w:r>
        <w:t xml:space="preserve">source-unit value, using Border Patrol sector for original rows and</w:t>
      </w:r>
      <w:r>
        <w:t xml:space="preserve"> </w:t>
      </w:r>
      <w:r>
        <w:t xml:space="preserve">field office for May supplement rows</w:t>
      </w:r>
    </w:p>
    <w:p>
      <w:pPr>
        <w:numPr>
          <w:ilvl w:val="0"/>
          <w:numId w:val="1004"/>
        </w:numPr>
      </w:pPr>
      <w:r>
        <w:t xml:space="preserve">destination ZIP, when assessing exact destination duplicates</w:t>
      </w:r>
    </w:p>
    <w:p>
      <w:pPr>
        <w:pStyle w:val="FirstParagraph"/>
      </w:pPr>
      <w:r>
        <w:t xml:space="preserve">Source-unit information matters because the original release and the May</w:t>
      </w:r>
      <w:r>
        <w:t xml:space="preserve"> </w:t>
      </w:r>
      <w:r>
        <w:t xml:space="preserve">supplement use different source fields. In the May supplement, two</w:t>
      </w:r>
      <w:r>
        <w:t xml:space="preserve"> </w:t>
      </w:r>
      <w:r>
        <w:t xml:space="preserve">otherwise similar rows from different field offices should not be</w:t>
      </w:r>
      <w:r>
        <w:t xml:space="preserve"> </w:t>
      </w:r>
      <w:r>
        <w:t xml:space="preserve">treated as the same record.</w:t>
      </w:r>
    </w:p>
    <w:p>
      <w:pPr>
        <w:pStyle w:val="BodyText"/>
      </w:pPr>
      <w:r>
        <w:t xml:space="preserve">ZIP-based destination analyses keep one representative record for each</w:t>
      </w:r>
      <w:r>
        <w:t xml:space="preserve"> </w:t>
      </w:r>
      <w:r>
        <w:t xml:space="preserve">demographic key, retained ZIP and subject count when a duplicate-like</w:t>
      </w:r>
      <w:r>
        <w:t xml:space="preserve"> </w:t>
      </w:r>
      <w:r>
        <w:t xml:space="preserve">group has only one retained ZIP.</w:t>
      </w:r>
    </w:p>
    <w:p>
      <w:pPr>
        <w:pStyle w:val="BodyText"/>
      </w:pPr>
      <w:r>
        <w:t xml:space="preserve">That avoids turning one apparent record into zero. If two rows are exact</w:t>
      </w:r>
      <w:r>
        <w:t xml:space="preserve"> </w:t>
      </w:r>
      <w:r>
        <w:t xml:space="preserve">copies of one record, or if a missing-ZIP companion row leaves repeated</w:t>
      </w:r>
      <w:r>
        <w:t xml:space="preserve"> </w:t>
      </w:r>
      <w:r>
        <w:t xml:space="preserve">same-ZIP rows after ZIP filtering, keeping one representative better</w:t>
      </w:r>
      <w:r>
        <w:t xml:space="preserve"> </w:t>
      </w:r>
      <w:r>
        <w:t xml:space="preserve">matches the usual intent of deduplication.</w:t>
      </w:r>
    </w:p>
    <w:p>
      <w:pPr>
        <w:pStyle w:val="BodyText"/>
      </w:pPr>
      <w:r>
        <w:t xml:space="preserve">The order of operations also matters. Duplicate groups are identified</w:t>
      </w:r>
      <w:r>
        <w:t xml:space="preserve"> </w:t>
      </w:r>
      <w:r>
        <w:t xml:space="preserve">before dropping missing or invalid ZIPs for destination analysis. If</w:t>
      </w:r>
      <w:r>
        <w:t xml:space="preserve"> </w:t>
      </w:r>
      <w:r>
        <w:t xml:space="preserve">rows with missing ZIPs are removed too early, a mixed group can be</w:t>
      </w:r>
      <w:r>
        <w:t xml:space="preserve"> </w:t>
      </w:r>
      <w:r>
        <w:t xml:space="preserve">missed by the duplicate-handling rule and destination counts can be</w:t>
      </w:r>
      <w:r>
        <w:t xml:space="preserve"> </w:t>
      </w:r>
      <w:r>
        <w:t xml:space="preserve">overstated.</w:t>
      </w:r>
    </w:p>
    <w:bookmarkEnd w:id="18"/>
    <w:bookmarkStart w:id="19" w:name="detention-and-correctional-facility-zips"/>
    <w:p>
      <w:pPr>
        <w:pStyle w:val="Heading2"/>
      </w:pPr>
      <w:r>
        <w:t xml:space="preserve">Detention and correctional facility ZIPs</w:t>
      </w:r>
    </w:p>
    <w:p>
      <w:pPr>
        <w:pStyle w:val="FirstParagraph"/>
      </w:pPr>
      <w:r>
        <w:t xml:space="preserve">The ZIP field is meant to help analyze onward destinations, but some</w:t>
      </w:r>
      <w:r>
        <w:t xml:space="preserve"> </w:t>
      </w:r>
      <w:r>
        <w:t xml:space="preserve">ZIPs may correspond to detention or correctional facilities rather than</w:t>
      </w:r>
      <w:r>
        <w:t xml:space="preserve"> </w:t>
      </w:r>
      <w:r>
        <w:t xml:space="preserve">community destinations.</w:t>
      </w:r>
    </w:p>
    <w:p>
      <w:pPr>
        <w:pStyle w:val="BodyText"/>
      </w:pPr>
      <w:r>
        <w:t xml:space="preserve">AP excluded known detention-facility ZIPs from ZIP-based destination</w:t>
      </w:r>
      <w:r>
        <w:t xml:space="preserve"> </w:t>
      </w:r>
      <w:r>
        <w:t xml:space="preserve">analyses. The exclusion list was cleaned using the same basic ZIP</w:t>
      </w:r>
      <w:r>
        <w:t xml:space="preserve"> </w:t>
      </w:r>
      <w:r>
        <w:t xml:space="preserve">principles applied to the main data, including restoring leading zeros</w:t>
      </w:r>
      <w:r>
        <w:t xml:space="preserve"> </w:t>
      </w:r>
      <w:r>
        <w:t xml:space="preserve">where appropriate.</w:t>
      </w:r>
    </w:p>
    <w:p>
      <w:pPr>
        <w:pStyle w:val="BodyText"/>
      </w:pPr>
      <w:r>
        <w:t xml:space="preserve">AP also excluded ZIP 11368, which was manually identified as</w:t>
      </w:r>
      <w:r>
        <w:t xml:space="preserve"> </w:t>
      </w:r>
      <w:r>
        <w:t xml:space="preserve">inappropriate for the destination analysis.</w:t>
      </w:r>
    </w:p>
    <w:p>
      <w:pPr>
        <w:pStyle w:val="BodyText"/>
      </w:pPr>
      <w:r>
        <w:t xml:space="preserve">Separately, correctional facility reference data was used to identify</w:t>
      </w:r>
      <w:r>
        <w:t xml:space="preserve"> </w:t>
      </w:r>
      <w:r>
        <w:t xml:space="preserve">ZIPs associated with correctional locations. That work required matching</w:t>
      </w:r>
      <w:r>
        <w:t xml:space="preserve"> </w:t>
      </w:r>
      <w:r>
        <w:t xml:space="preserve">facility locations to ZIP areas and using nearest-area matching where a</w:t>
      </w:r>
      <w:r>
        <w:t xml:space="preserve"> </w:t>
      </w:r>
      <w:r>
        <w:t xml:space="preserve">point fell on a boundary or just outside a polygon.</w:t>
      </w:r>
    </w:p>
    <w:p>
      <w:pPr>
        <w:pStyle w:val="BodyText"/>
      </w:pPr>
      <w:r>
        <w:t xml:space="preserve">A detention or correctional ZIP can distort an onward-destination</w:t>
      </w:r>
      <w:r>
        <w:t xml:space="preserve"> </w:t>
      </w:r>
      <w:r>
        <w:t xml:space="preserve">analysis if it is treated the same way as a home, sponsor, family, or</w:t>
      </w:r>
      <w:r>
        <w:t xml:space="preserve"> </w:t>
      </w:r>
      <w:r>
        <w:t xml:space="preserve">community destination.</w:t>
      </w:r>
    </w:p>
    <w:p>
      <w:pPr>
        <w:pStyle w:val="BodyText"/>
      </w:pPr>
      <w:r>
        <w:t xml:space="preserve">Public ZIP-based findings use an analysis-ready destination ZIP set.</w:t>
      </w:r>
      <w:r>
        <w:t xml:space="preserve"> </w:t>
      </w:r>
      <w:r>
        <w:t xml:space="preserve">That set starts with records that have a cleaned valid ZIP, collapses</w:t>
      </w:r>
      <w:r>
        <w:t xml:space="preserve"> </w:t>
      </w:r>
      <w:r>
        <w:t xml:space="preserve">duplicate-like groups with one retained ZIP to one representative</w:t>
      </w:r>
      <w:r>
        <w:t xml:space="preserve"> </w:t>
      </w:r>
      <w:r>
        <w:t xml:space="preserve">record, and excludes known detention-facility ZIPs and ZIP 11368.</w:t>
      </w:r>
    </w:p>
    <w:bookmarkEnd w:id="19"/>
    <w:bookmarkStart w:id="20" w:name="state-pages"/>
    <w:p>
      <w:pPr>
        <w:pStyle w:val="Heading2"/>
      </w:pPr>
      <w:r>
        <w:t xml:space="preserve">State pages</w:t>
      </w:r>
    </w:p>
    <w:p>
      <w:pPr>
        <w:pStyle w:val="FirstParagraph"/>
      </w:pPr>
      <w:r>
        <w:t xml:space="preserve">Each AP-Wide state page focuses on destination ZIPs assigned to that</w:t>
      </w:r>
      <w:r>
        <w:t xml:space="preserve"> </w:t>
      </w:r>
      <w:r>
        <w:t xml:space="preserve">state or Washington, D.C. The state assignment comes from the cleaned</w:t>
      </w:r>
      <w:r>
        <w:t xml:space="preserve"> </w:t>
      </w:r>
      <w:r>
        <w:t xml:space="preserve">destination ZIP and the ZIP reference table.</w:t>
      </w:r>
    </w:p>
    <w:p>
      <w:pPr>
        <w:pStyle w:val="BodyText"/>
      </w:pPr>
      <w:r>
        <w:t xml:space="preserve">The tables show ZIP totals and citizenship-by-ZIP counts only when the</w:t>
      </w:r>
      <w:r>
        <w:t xml:space="preserve"> </w:t>
      </w:r>
      <w:r>
        <w:t xml:space="preserve">relevant ZIP-level count meets the 10-migrant public display floor.</w:t>
      </w:r>
      <w:r>
        <w:t xml:space="preserve"> </w:t>
      </w:r>
      <w:r>
        <w:t xml:space="preserve">Users can filter and sort the interactive tables, but any public use</w:t>
      </w:r>
      <w:r>
        <w:t xml:space="preserve"> </w:t>
      </w:r>
      <w:r>
        <w:t xml:space="preserve">should continue to follow the same privacy rule: do not publish a</w:t>
      </w:r>
      <w:r>
        <w:t xml:space="preserve"> </w:t>
      </w:r>
      <w:r>
        <w:t xml:space="preserve">specific ZIP-level count or ZIP-variable combination with fewer than 10</w:t>
      </w:r>
      <w:r>
        <w:t xml:space="preserve"> </w:t>
      </w:r>
      <w:r>
        <w:t xml:space="preserve">migrants.</w:t>
      </w:r>
    </w:p>
    <w:p>
      <w:pPr>
        <w:pStyle w:val="BodyText"/>
      </w:pPr>
      <w:r>
        <w:t xml:space="preserve">Interactive maps on state pages show individual ZIP points only when the</w:t>
      </w:r>
      <w:r>
        <w:t xml:space="preserve"> </w:t>
      </w:r>
      <w:r>
        <w:t xml:space="preserve">ZIP total meets the display floor. ZIPs below the floor may be grouped</w:t>
      </w:r>
      <w:r>
        <w:t xml:space="preserve"> </w:t>
      </w:r>
      <w:r>
        <w:t xml:space="preserve">into anonymous nearby groups only when the grouped total reaches at</w:t>
      </w:r>
      <w:r>
        <w:t xml:space="preserve"> </w:t>
      </w:r>
      <w:r>
        <w:t xml:space="preserve">least 10 migrants and every ZIP in the anonymous group is within 30</w:t>
      </w:r>
      <w:r>
        <w:t xml:space="preserve"> </w:t>
      </w:r>
      <w:r>
        <w:t xml:space="preserve">miles of the group marker. Low-count ZIPs that cannot be grouped under</w:t>
      </w:r>
      <w:r>
        <w:t xml:space="preserve"> </w:t>
      </w:r>
      <w:r>
        <w:t xml:space="preserve">those conditions are omitted from the map. Anonymous group popups and</w:t>
      </w:r>
      <w:r>
        <w:t xml:space="preserve"> </w:t>
      </w:r>
      <w:r>
        <w:t xml:space="preserve">tooltips show only the combined count, not the member ZIPs.</w:t>
      </w:r>
    </w:p>
    <w:bookmarkEnd w:id="20"/>
    <w:bookmarkStart w:id="21" w:name="national-state-rankings"/>
    <w:p>
      <w:pPr>
        <w:pStyle w:val="Heading2"/>
      </w:pPr>
      <w:r>
        <w:t xml:space="preserve">National state rankings</w:t>
      </w:r>
    </w:p>
    <w:p>
      <w:pPr>
        <w:pStyle w:val="FirstParagraph"/>
      </w:pPr>
      <w:r>
        <w:t xml:space="preserve">The national state rankings page compares destination patterns across</w:t>
      </w:r>
      <w:r>
        <w:t xml:space="preserve"> </w:t>
      </w:r>
      <w:r>
        <w:t xml:space="preserve">the 50 states and Washington, D.C. Territories, military ZIP</w:t>
      </w:r>
      <w:r>
        <w:t xml:space="preserve"> </w:t>
      </w:r>
      <w:r>
        <w:t xml:space="preserve">pseudo-state codes, and other non-state postal codes are excluded from</w:t>
      </w:r>
      <w:r>
        <w:t xml:space="preserve"> </w:t>
      </w:r>
      <w:r>
        <w:t xml:space="preserve">these rankings.</w:t>
      </w:r>
    </w:p>
    <w:p>
      <w:pPr>
        <w:pStyle w:val="BodyText"/>
      </w:pPr>
      <w:r>
        <w:t xml:space="preserve">The page includes four tables:</w:t>
      </w:r>
    </w:p>
    <w:p>
      <w:pPr>
        <w:numPr>
          <w:ilvl w:val="0"/>
          <w:numId w:val="1005"/>
        </w:numPr>
      </w:pPr>
      <w:r>
        <w:t xml:space="preserve">total migrants by state</w:t>
      </w:r>
    </w:p>
    <w:p>
      <w:pPr>
        <w:numPr>
          <w:ilvl w:val="0"/>
          <w:numId w:val="1005"/>
        </w:numPr>
      </w:pPr>
      <w:r>
        <w:t xml:space="preserve">total migrants by citizenship and state</w:t>
      </w:r>
    </w:p>
    <w:p>
      <w:pPr>
        <w:numPr>
          <w:ilvl w:val="0"/>
          <w:numId w:val="1005"/>
        </w:numPr>
      </w:pPr>
      <w:r>
        <w:t xml:space="preserve">per-capita migrants by state</w:t>
      </w:r>
    </w:p>
    <w:p>
      <w:pPr>
        <w:numPr>
          <w:ilvl w:val="0"/>
          <w:numId w:val="1005"/>
        </w:numPr>
      </w:pPr>
      <w:r>
        <w:t xml:space="preserve">per-capita migrants by citizenship and state</w:t>
      </w:r>
    </w:p>
    <w:p>
      <w:pPr>
        <w:pStyle w:val="FirstParagraph"/>
      </w:pPr>
      <w:r>
        <w:t xml:space="preserve">The citizenship-by-state tables include every state and Washington,</w:t>
      </w:r>
      <w:r>
        <w:t xml:space="preserve"> </w:t>
      </w:r>
      <w:r>
        <w:t xml:space="preserve">D.C., for each citizenship, including zero-count states. That means a</w:t>
      </w:r>
      <w:r>
        <w:t xml:space="preserve"> </w:t>
      </w:r>
      <w:r>
        <w:t xml:space="preserve">filtered view for a specific citizenship remains a complete national</w:t>
      </w:r>
      <w:r>
        <w:t xml:space="preserve"> </w:t>
      </w:r>
      <w:r>
        <w:t xml:space="preserve">state comparison.</w:t>
      </w:r>
    </w:p>
    <w:p>
      <w:pPr>
        <w:pStyle w:val="BodyText"/>
      </w:pPr>
      <w:r>
        <w:t xml:space="preserve">The overall state per-capita table is scaled as migrants per 10,000</w:t>
      </w:r>
      <w:r>
        <w:t xml:space="preserve"> </w:t>
      </w:r>
      <w:r>
        <w:t xml:space="preserve">residents. The citizenship-by-state per-capita table is scaled as</w:t>
      </w:r>
      <w:r>
        <w:t xml:space="preserve"> </w:t>
      </w:r>
      <w:r>
        <w:t xml:space="preserve">migrants per 100,000 residents because many citizenship-state counts are</w:t>
      </w:r>
      <w:r>
        <w:t xml:space="preserve"> </w:t>
      </w:r>
      <w:r>
        <w:t xml:space="preserve">too small for a per-1,000 rate to be readable.</w:t>
      </w:r>
    </w:p>
    <w:bookmarkEnd w:id="21"/>
    <w:bookmarkStart w:id="22" w:name="per-capita-analysis"/>
    <w:p>
      <w:pPr>
        <w:pStyle w:val="Heading2"/>
      </w:pPr>
      <w:r>
        <w:t xml:space="preserve">Per-capita analysis</w:t>
      </w:r>
    </w:p>
    <w:p>
      <w:pPr>
        <w:pStyle w:val="FirstParagraph"/>
      </w:pPr>
      <w:r>
        <w:t xml:space="preserve">Some AP-Wide report tables compare migrant counts with resident</w:t>
      </w:r>
      <w:r>
        <w:t xml:space="preserve"> </w:t>
      </w:r>
      <w:r>
        <w:t xml:space="preserve">population. For ZIP-level sections, AP used Census ZCTA population</w:t>
      </w:r>
      <w:r>
        <w:t xml:space="preserve"> </w:t>
      </w:r>
      <w:r>
        <w:t xml:space="preserve">estimates as the denominator. For national state rankings, AP used ACS</w:t>
      </w:r>
      <w:r>
        <w:t xml:space="preserve"> </w:t>
      </w:r>
      <w:r>
        <w:t xml:space="preserve">2019-2023 state-level total population estimates as the denominator.</w:t>
      </w:r>
    </w:p>
    <w:p>
      <w:pPr>
        <w:pStyle w:val="BodyText"/>
      </w:pPr>
      <w:r>
        <w:t xml:space="preserve">This measure identifies places where the recorded migrant count was</w:t>
      </w:r>
      <w:r>
        <w:t xml:space="preserve"> </w:t>
      </w:r>
      <w:r>
        <w:t xml:space="preserve">large relative to the size of the local population over the multiyear</w:t>
      </w:r>
      <w:r>
        <w:t xml:space="preserve"> </w:t>
      </w:r>
      <w:r>
        <w:t xml:space="preserve">period. Raw totals tend to elevate already-large places. Per-population</w:t>
      </w:r>
      <w:r>
        <w:t xml:space="preserve"> </w:t>
      </w:r>
      <w:r>
        <w:t xml:space="preserve">rates can also identify smaller or mid-sized communities where recorded</w:t>
      </w:r>
      <w:r>
        <w:t xml:space="preserve"> </w:t>
      </w:r>
      <w:r>
        <w:t xml:space="preserve">destinations were large relative to the existing population. AP used</w:t>
      </w:r>
      <w:r>
        <w:t xml:space="preserve"> </w:t>
      </w:r>
      <w:r>
        <w:t xml:space="preserve">that comparison instead of a year-by-year trend line because it focuses</w:t>
      </w:r>
      <w:r>
        <w:t xml:space="preserve"> </w:t>
      </w:r>
      <w:r>
        <w:t xml:space="preserve">on the scale of recorded destinations in relation to the community</w:t>
      </w:r>
      <w:r>
        <w:t xml:space="preserve"> </w:t>
      </w:r>
      <w:r>
        <w:t xml:space="preserve">rather than on timing shifts that may reflect changes in policy,</w:t>
      </w:r>
      <w:r>
        <w:t xml:space="preserve"> </w:t>
      </w:r>
      <w:r>
        <w:t xml:space="preserve">processing or source-data coverage.</w:t>
      </w:r>
    </w:p>
    <w:p>
      <w:pPr>
        <w:pStyle w:val="BodyText"/>
      </w:pPr>
      <w:r>
        <w:t xml:space="preserve">A ZCTA is a Census approximation of ZIP-code geography. It is close</w:t>
      </w:r>
      <w:r>
        <w:t xml:space="preserve"> </w:t>
      </w:r>
      <w:r>
        <w:t xml:space="preserve">enough for many reporting purposes, but it is not identical to a postal</w:t>
      </w:r>
      <w:r>
        <w:t xml:space="preserve"> </w:t>
      </w:r>
      <w:r>
        <w:t xml:space="preserve">ZIP code. That means per-capita ZIP results should be read as ZIP-area</w:t>
      </w:r>
      <w:r>
        <w:t xml:space="preserve"> </w:t>
      </w:r>
      <w:r>
        <w:t xml:space="preserve">comparisons, not exact postal geography.</w:t>
      </w:r>
    </w:p>
    <w:p>
      <w:pPr>
        <w:pStyle w:val="BodyText"/>
      </w:pPr>
      <w:r>
        <w:t xml:space="preserve">To avoid rankings driven by tiny denominators, per-capita ZIP sections</w:t>
      </w:r>
      <w:r>
        <w:t xml:space="preserve"> </w:t>
      </w:r>
      <w:r>
        <w:t xml:space="preserve">apply minimum thresholds before ranking ZIPs. The thresholds are</w:t>
      </w:r>
      <w:r>
        <w:t xml:space="preserve"> </w:t>
      </w:r>
      <w:r>
        <w:t xml:space="preserve">intended to keep the focus on places where the numerator and denominator</w:t>
      </w:r>
      <w:r>
        <w:t xml:space="preserve"> </w:t>
      </w:r>
      <w:r>
        <w:t xml:space="preserve">are large enough to support comparison.</w:t>
      </w:r>
    </w:p>
    <w:bookmarkEnd w:id="22"/>
    <w:bookmarkStart w:id="23" w:name="X6c281401c8f0bb3cf274568ad9696d58db0f97d"/>
    <w:p>
      <w:pPr>
        <w:pStyle w:val="Heading2"/>
      </w:pPr>
      <w:r>
        <w:t xml:space="preserve">Privacy handling for low-count ZIP-level findings</w:t>
      </w:r>
    </w:p>
    <w:p>
      <w:pPr>
        <w:pStyle w:val="FirstParagraph"/>
      </w:pPr>
      <w:r>
        <w:t xml:space="preserve">ZIP-level findings can create disclosure risk when very small counts are</w:t>
      </w:r>
      <w:r>
        <w:t xml:space="preserve"> </w:t>
      </w:r>
      <w:r>
        <w:t xml:space="preserve">shown for exact ZIPs or for exact ZIP-variable combinations. That risk</w:t>
      </w:r>
      <w:r>
        <w:t xml:space="preserve"> </w:t>
      </w:r>
      <w:r>
        <w:t xml:space="preserve">is not limited to maps. It also applies to tables, charts, story text</w:t>
      </w:r>
      <w:r>
        <w:t xml:space="preserve"> </w:t>
      </w:r>
      <w:r>
        <w:t xml:space="preserve">and reporter notes that identify a specific ZIP.</w:t>
      </w:r>
    </w:p>
    <w:p>
      <w:pPr>
        <w:pStyle w:val="BodyText"/>
      </w:pPr>
      <w:r>
        <w:t xml:space="preserve">The rule is:</w:t>
      </w:r>
    </w:p>
    <w:p>
      <w:pPr>
        <w:numPr>
          <w:ilvl w:val="0"/>
          <w:numId w:val="1006"/>
        </w:numPr>
      </w:pPr>
      <w:r>
        <w:t xml:space="preserve">ZIP totals with 10 or more migrants can appear in public ZIP-level</w:t>
      </w:r>
      <w:r>
        <w:t xml:space="preserve"> </w:t>
      </w:r>
      <w:r>
        <w:t xml:space="preserve">tables or as individual ZIP points on maps.</w:t>
      </w:r>
    </w:p>
    <w:p>
      <w:pPr>
        <w:numPr>
          <w:ilvl w:val="0"/>
          <w:numId w:val="1006"/>
        </w:numPr>
      </w:pPr>
      <w:r>
        <w:t xml:space="preserve">ZIP totals with fewer than 10 migrants should not be publicly shown,</w:t>
      </w:r>
      <w:r>
        <w:t xml:space="preserve"> </w:t>
      </w:r>
      <w:r>
        <w:t xml:space="preserve">mapped, named, or written about as specific ZIP-level findings.</w:t>
      </w:r>
    </w:p>
    <w:p>
      <w:pPr>
        <w:numPr>
          <w:ilvl w:val="0"/>
          <w:numId w:val="1006"/>
        </w:numPr>
      </w:pPr>
      <w:r>
        <w:t xml:space="preserve">Country-ZIP pairs, and other ZIP-variable combinations, should be</w:t>
      </w:r>
      <w:r>
        <w:t xml:space="preserve"> </w:t>
      </w:r>
      <w:r>
        <w:t xml:space="preserve">public only when the subject-weighted count for that exact combination</w:t>
      </w:r>
      <w:r>
        <w:t xml:space="preserve"> </w:t>
      </w:r>
      <w:r>
        <w:t xml:space="preserve">is at least 10 migrants.</w:t>
      </w:r>
    </w:p>
    <w:p>
      <w:pPr>
        <w:numPr>
          <w:ilvl w:val="0"/>
          <w:numId w:val="1006"/>
        </w:numPr>
      </w:pPr>
      <w:r>
        <w:t xml:space="preserve">In interactive maps, ZIPs with fewer than 10 migrants cannot appear as</w:t>
      </w:r>
      <w:r>
        <w:t xml:space="preserve"> </w:t>
      </w:r>
      <w:r>
        <w:t xml:space="preserve">individual ZIP points.</w:t>
      </w:r>
    </w:p>
    <w:p>
      <w:pPr>
        <w:numPr>
          <w:ilvl w:val="0"/>
          <w:numId w:val="1006"/>
        </w:numPr>
      </w:pPr>
      <w:r>
        <w:t xml:space="preserve">Low-count ZIPs may be grouped into anonymous nearby ZIP groups only</w:t>
      </w:r>
      <w:r>
        <w:t xml:space="preserve"> </w:t>
      </w:r>
      <w:r>
        <w:t xml:space="preserve">when the combined group reaches at least 10 migrants.</w:t>
      </w:r>
    </w:p>
    <w:p>
      <w:pPr>
        <w:numPr>
          <w:ilvl w:val="0"/>
          <w:numId w:val="1006"/>
        </w:numPr>
      </w:pPr>
      <w:r>
        <w:t xml:space="preserve">Every ZIP in an anonymous map group must be within 30 miles of the</w:t>
      </w:r>
      <w:r>
        <w:t xml:space="preserve"> </w:t>
      </w:r>
      <w:r>
        <w:t xml:space="preserve">group marker.</w:t>
      </w:r>
    </w:p>
    <w:p>
      <w:pPr>
        <w:numPr>
          <w:ilvl w:val="0"/>
          <w:numId w:val="1006"/>
        </w:numPr>
      </w:pPr>
      <w:r>
        <w:t xml:space="preserve">Low-count ZIPs that cannot be grouped under those conditions are</w:t>
      </w:r>
      <w:r>
        <w:t xml:space="preserve"> </w:t>
      </w:r>
      <w:r>
        <w:t xml:space="preserve">omitted from the map.</w:t>
      </w:r>
    </w:p>
    <w:p>
      <w:pPr>
        <w:numPr>
          <w:ilvl w:val="0"/>
          <w:numId w:val="1006"/>
        </w:numPr>
      </w:pPr>
      <w:r>
        <w:t xml:space="preserve">Anonymous map group popups and tooltips show only the combined count,</w:t>
      </w:r>
      <w:r>
        <w:t xml:space="preserve"> </w:t>
      </w:r>
      <w:r>
        <w:t xml:space="preserve">not the member ZIPs.</w:t>
      </w:r>
    </w:p>
    <w:p>
      <w:pPr>
        <w:pStyle w:val="FirstParagraph"/>
      </w:pPr>
      <w:r>
        <w:t xml:space="preserve">The 30-mile rule is based on distance between ZIP-area centroids and the</w:t>
      </w:r>
      <w:r>
        <w:t xml:space="preserve"> </w:t>
      </w:r>
      <w:r>
        <w:t xml:space="preserve">anonymous group marker. The group marker is based on a weighted center</w:t>
      </w:r>
      <w:r>
        <w:t xml:space="preserve"> </w:t>
      </w:r>
      <w:r>
        <w:t xml:space="preserve">of the ZIPs in the group.</w:t>
      </w:r>
    </w:p>
    <w:p>
      <w:pPr>
        <w:pStyle w:val="BodyText"/>
      </w:pPr>
      <w:r>
        <w:t xml:space="preserve">The maps are designed to show broad geographic patterns without</w:t>
      </w:r>
      <w:r>
        <w:t xml:space="preserve"> </w:t>
      </w:r>
      <w:r>
        <w:t xml:space="preserve">displaying exact ZIP points with counts from 1 to 9. The table filters</w:t>
      </w:r>
      <w:r>
        <w:t xml:space="preserve"> </w:t>
      </w:r>
      <w:r>
        <w:t xml:space="preserve">are designed for the same privacy principle: public ZIP totals and</w:t>
      </w:r>
      <w:r>
        <w:t xml:space="preserve"> </w:t>
      </w:r>
      <w:r>
        <w:t xml:space="preserve">country-ZIP pairs should meet the 10-migrant floor.</w:t>
      </w:r>
    </w:p>
    <w:bookmarkEnd w:id="23"/>
    <w:bookmarkStart w:id="24" w:name="what-the-reports-can-support"/>
    <w:p>
      <w:pPr>
        <w:pStyle w:val="Heading2"/>
      </w:pPr>
      <w:r>
        <w:t xml:space="preserve">What the reports can support</w:t>
      </w:r>
    </w:p>
    <w:p>
      <w:pPr>
        <w:pStyle w:val="FirstParagraph"/>
      </w:pPr>
      <w:r>
        <w:t xml:space="preserve">The AP-Wide reports can support questions such as:</w:t>
      </w:r>
    </w:p>
    <w:p>
      <w:pPr>
        <w:numPr>
          <w:ilvl w:val="0"/>
          <w:numId w:val="1007"/>
        </w:numPr>
      </w:pPr>
      <w:r>
        <w:t xml:space="preserve">Which destination ZIPs were most commonly recorded in a state or</w:t>
      </w:r>
      <w:r>
        <w:t xml:space="preserve"> </w:t>
      </w:r>
      <w:r>
        <w:t xml:space="preserve">Washington, D.C., subject to the 10-migrant display floor?</w:t>
      </w:r>
    </w:p>
    <w:p>
      <w:pPr>
        <w:numPr>
          <w:ilvl w:val="0"/>
          <w:numId w:val="1007"/>
        </w:numPr>
      </w:pPr>
      <w:r>
        <w:t xml:space="preserve">Which states appeared most often in the destination field?</w:t>
      </w:r>
    </w:p>
    <w:p>
      <w:pPr>
        <w:numPr>
          <w:ilvl w:val="0"/>
          <w:numId w:val="1007"/>
        </w:numPr>
      </w:pPr>
      <w:r>
        <w:t xml:space="preserve">How did recorded destination patterns vary by citizenship while</w:t>
      </w:r>
      <w:r>
        <w:t xml:space="preserve"> </w:t>
      </w:r>
      <w:r>
        <w:t xml:space="preserve">observing the country-ZIP privacy floor?</w:t>
      </w:r>
    </w:p>
    <w:p>
      <w:pPr>
        <w:numPr>
          <w:ilvl w:val="0"/>
          <w:numId w:val="1007"/>
        </w:numPr>
      </w:pPr>
      <w:r>
        <w:t xml:space="preserve">Which ZIP areas or states had large recorded counts relative to local</w:t>
      </w:r>
      <w:r>
        <w:t xml:space="preserve"> </w:t>
      </w:r>
      <w:r>
        <w:t xml:space="preserve">population?</w:t>
      </w:r>
    </w:p>
    <w:p>
      <w:pPr>
        <w:numPr>
          <w:ilvl w:val="0"/>
          <w:numId w:val="1007"/>
        </w:numPr>
      </w:pPr>
      <w:r>
        <w:t xml:space="preserve">How much of a country-specific subset had usable destination ZIPs?</w:t>
      </w:r>
    </w:p>
    <w:p>
      <w:pPr>
        <w:pStyle w:val="FirstParagraph"/>
      </w:pPr>
      <w:r>
        <w:t xml:space="preserve">The reports are less suited for questions such as:</w:t>
      </w:r>
    </w:p>
    <w:p>
      <w:pPr>
        <w:numPr>
          <w:ilvl w:val="0"/>
          <w:numId w:val="1008"/>
        </w:numPr>
      </w:pPr>
      <w:r>
        <w:t xml:space="preserve">Where did migrants ultimately live?</w:t>
      </w:r>
    </w:p>
    <w:p>
      <w:pPr>
        <w:numPr>
          <w:ilvl w:val="0"/>
          <w:numId w:val="1008"/>
        </w:numPr>
      </w:pPr>
      <w:r>
        <w:t xml:space="preserve">Where did migrants stay long term?</w:t>
      </w:r>
    </w:p>
    <w:p>
      <w:pPr>
        <w:numPr>
          <w:ilvl w:val="0"/>
          <w:numId w:val="1008"/>
        </w:numPr>
      </w:pPr>
      <w:r>
        <w:t xml:space="preserve">Which sponsors, households, or organizations received migrants?</w:t>
      </w:r>
    </w:p>
    <w:p>
      <w:pPr>
        <w:numPr>
          <w:ilvl w:val="0"/>
          <w:numId w:val="1008"/>
        </w:numPr>
      </w:pPr>
      <w:r>
        <w:t xml:space="preserve">How many migrants currently live in a given ZIP code?</w:t>
      </w:r>
    </w:p>
    <w:p>
      <w:pPr>
        <w:numPr>
          <w:ilvl w:val="0"/>
          <w:numId w:val="1008"/>
        </w:numPr>
      </w:pPr>
      <w:r>
        <w:t xml:space="preserve">Broad year-by-year trend claims, especially claims that treat the</w:t>
      </w:r>
      <w:r>
        <w:t xml:space="preserve"> </w:t>
      </w:r>
      <w:r>
        <w:t xml:space="preserve">combined data as a clean time series.</w:t>
      </w:r>
    </w:p>
    <w:p>
      <w:pPr>
        <w:numPr>
          <w:ilvl w:val="0"/>
          <w:numId w:val="1008"/>
        </w:numPr>
      </w:pPr>
      <w:r>
        <w:t xml:space="preserve">Whether a specific ZIP count reflects community destination, detention,</w:t>
      </w:r>
      <w:r>
        <w:t xml:space="preserve"> </w:t>
      </w:r>
      <w:r>
        <w:t xml:space="preserve">transit or data-entry practice without further reporting.</w:t>
      </w:r>
    </w:p>
    <w:bookmarkEnd w:id="24"/>
    <w:bookmarkStart w:id="25" w:name="suggested-wording-for-stories"/>
    <w:p>
      <w:pPr>
        <w:pStyle w:val="Heading2"/>
      </w:pPr>
      <w:r>
        <w:t xml:space="preserve">Suggested wording for stories</w:t>
      </w:r>
    </w:p>
    <w:p>
      <w:pPr>
        <w:pStyle w:val="FirstParagraph"/>
      </w:pPr>
      <w:r>
        <w:t xml:space="preserve">Better wording for stories includes:</w:t>
      </w:r>
    </w:p>
    <w:p>
      <w:pPr>
        <w:numPr>
          <w:ilvl w:val="0"/>
          <w:numId w:val="1009"/>
        </w:numPr>
      </w:pPr>
      <w:r>
        <w:t xml:space="preserve">“CBP records reviewed by AP list [ZIP/state] as the onward</w:t>
      </w:r>
      <w:r>
        <w:t xml:space="preserve"> </w:t>
      </w:r>
      <w:r>
        <w:t xml:space="preserve">destination for…”</w:t>
      </w:r>
    </w:p>
    <w:p>
      <w:pPr>
        <w:numPr>
          <w:ilvl w:val="0"/>
          <w:numId w:val="1009"/>
        </w:numPr>
      </w:pPr>
      <w:r>
        <w:t xml:space="preserve">“The records represent migrants arrested or encountered at the border</w:t>
      </w:r>
      <w:r>
        <w:t xml:space="preserve"> </w:t>
      </w:r>
      <w:r>
        <w:t xml:space="preserve">from…”</w:t>
      </w:r>
    </w:p>
    <w:p>
      <w:pPr>
        <w:numPr>
          <w:ilvl w:val="0"/>
          <w:numId w:val="1009"/>
        </w:numPr>
      </w:pPr>
      <w:r>
        <w:t xml:space="preserve">“AP’s public ZIP-level destination findings exclude missing ZIPs and</w:t>
      </w:r>
      <w:r>
        <w:t xml:space="preserve"> </w:t>
      </w:r>
      <w:r>
        <w:t xml:space="preserve">ZIPs tied to detention facilities, and collapse likely duplicate-like</w:t>
      </w:r>
      <w:r>
        <w:t xml:space="preserve"> </w:t>
      </w:r>
      <w:r>
        <w:t xml:space="preserve">groups with one retained ZIP to one representative record.”</w:t>
      </w:r>
    </w:p>
    <w:p>
      <w:pPr>
        <w:numPr>
          <w:ilvl w:val="0"/>
          <w:numId w:val="1009"/>
        </w:numPr>
      </w:pPr>
      <w:r>
        <w:t xml:space="preserve">“For privacy, AP does not publish ZIP-level counts or country-ZIP</w:t>
      </w:r>
      <w:r>
        <w:t xml:space="preserve"> </w:t>
      </w:r>
      <w:r>
        <w:t xml:space="preserve">pairs with fewer than 10 migrants.”</w:t>
      </w:r>
    </w:p>
    <w:p>
      <w:pPr>
        <w:pStyle w:val="FirstParagraph"/>
      </w:pPr>
      <w:r>
        <w:t xml:space="preserve">Avoid wording that overstates the data:</w:t>
      </w:r>
    </w:p>
    <w:p>
      <w:pPr>
        <w:numPr>
          <w:ilvl w:val="0"/>
          <w:numId w:val="1010"/>
        </w:numPr>
      </w:pPr>
      <w:r>
        <w:t xml:space="preserve">Do not say the ZIP code is where someone ultimately lived unless</w:t>
      </w:r>
      <w:r>
        <w:t xml:space="preserve"> </w:t>
      </w:r>
      <w:r>
        <w:t xml:space="preserve">independently confirmed.</w:t>
      </w:r>
    </w:p>
    <w:p>
      <w:pPr>
        <w:numPr>
          <w:ilvl w:val="0"/>
          <w:numId w:val="1010"/>
        </w:numPr>
      </w:pPr>
      <w:r>
        <w:t xml:space="preserve">Do not describe this as a count of all migrants, all asylum-seekers or</w:t>
      </w:r>
      <w:r>
        <w:t xml:space="preserve"> </w:t>
      </w:r>
      <w:r>
        <w:t xml:space="preserve">all people released into the United States.</w:t>
      </w:r>
    </w:p>
    <w:p>
      <w:pPr>
        <w:numPr>
          <w:ilvl w:val="0"/>
          <w:numId w:val="1010"/>
        </w:numPr>
      </w:pPr>
      <w:r>
        <w:t xml:space="preserve">Do not compare January-July 2025 directly with complete years.</w:t>
      </w:r>
    </w:p>
    <w:p>
      <w:pPr>
        <w:numPr>
          <w:ilvl w:val="0"/>
          <w:numId w:val="1010"/>
        </w:numPr>
      </w:pPr>
      <w:r>
        <w:t xml:space="preserve">Do not use the May OFO supplement for day-by-day timing because its</w:t>
      </w:r>
      <w:r>
        <w:t xml:space="preserve"> </w:t>
      </w:r>
      <w:r>
        <w:t xml:space="preserve">dates appear to be month-coded.</w:t>
      </w:r>
    </w:p>
    <w:p>
      <w:pPr>
        <w:numPr>
          <w:ilvl w:val="0"/>
          <w:numId w:val="1010"/>
        </w:numPr>
      </w:pPr>
      <w:r>
        <w:t xml:space="preserve">Do not identify a ZIP-level finding when the relevant ZIP total or</w:t>
      </w:r>
      <w:r>
        <w:t xml:space="preserve"> </w:t>
      </w:r>
      <w:r>
        <w:t xml:space="preserve">ZIP-variable count is fewer than 10 migrants.</w:t>
      </w:r>
    </w:p>
    <w:bookmarkEnd w:id="25"/>
    <w:bookmarkEnd w:id="26"/>
    <w:sectPr w:rsidR="002A133B">
      <w:pgSz w:h="15840" w:w="12240"/>
      <w:pgMar w:bottom="1080" w:footer="720" w:gutter="0" w:header="720" w:left="1080" w:right="1080" w:top="108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5AA5297D"/>
    <w:multiLevelType w:val="singleLevel"/>
    <w:tmpl w:val="95240C3A"/>
    <w:lvl w:ilvl="0">
      <w:start w:val="1"/>
      <w:numFmt w:val="bullet"/>
      <w:lvlText w:val="•"/>
      <w:lvlJc w:val="left"/>
      <w:pPr>
        <w:ind w:hanging="240" w:left="540"/>
      </w:pPr>
      <w:rPr>
        <w:rFonts w:ascii="Times New Roman" w:cs="Times New Roman" w:eastAsia="Times New Roman" w:hAnsi="Times New Roman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1624995493" w:numId="1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72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cs="Times New Roman" w:eastAsia="Times New Roman" w:hAnsi="Times New Roman"/>
        <w:color w:val="202020"/>
        <w:sz w:val="21"/>
        <w:lang w:bidi="ar-SA" w:eastAsia="en-US" w:val="en-US"/>
      </w:rPr>
    </w:rPrDefault>
    <w:pPrDefault>
      <w:pPr>
        <w:spacing w:after="150" w:line="276" w:lineRule="auto"/>
      </w:pPr>
    </w:pPrDefault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uiPriority w:val="9"/>
    <w:qFormat/>
    <w:pPr>
      <w:keepNext/>
      <w:spacing w:after="130" w:before="300"/>
      <w:outlineLvl w:val="0"/>
    </w:pPr>
    <w:rPr>
      <w:b/>
      <w:color w:val="000000"/>
      <w:sz w:val="27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Title" w:type="paragraph">
    <w:name w:val="Title"/>
    <w:basedOn w:val="Normal"/>
    <w:next w:val="Normal"/>
    <w:uiPriority w:val="10"/>
    <w:qFormat/>
    <w:pPr>
      <w:spacing w:after="260"/>
      <w:outlineLvl w:val="0"/>
    </w:pPr>
    <w:rPr>
      <w:b/>
      <w:color w:val="000000"/>
      <w:sz w:val="36"/>
    </w:rPr>
  </w:style>
  <w:style w:customStyle="1" w:styleId="TableHeader" w:type="paragraph">
    <w:name w:val="Table Header"/>
    <w:basedOn w:val="Normal"/>
    <w:rPr>
      <w:b/>
      <w:color w:val="17365D"/>
    </w:rPr>
  </w:style>
  <w:style w:customStyle="1" w:styleId="CodeChar" w:type="character">
    <w:name w:val="Code Char"/>
    <w:rPr>
      <w:rFonts w:ascii="Menlo" w:hAnsi="Menlo"/>
      <w:color w:val="7A3E00"/>
      <w:sz w:val="19"/>
    </w:rPr>
  </w:style>
  <w:style w:styleId="TableGrid" w:type="table">
    <w:name w:val="Table Grid"/>
    <w:tblPr>
      <w:tblCellMar>
        <w:top w:type="dxa" w:w="100"/>
        <w:left w:type="dxa" w:w="120"/>
        <w:bottom w:type="dxa" w:w="100"/>
        <w:right w:type="dxa" w:w="120"/>
      </w:tblCellMar>
    </w:tbl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color w:val="007020"/>
      <w:b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/>
  </w:style>
  <w:style w:customStyle="1" w:styleId="CommentTok" w:type="character">
    <w:name w:val="CommentTok"/>
    <w:basedOn w:val="VerbatimChar"/>
    <w:rPr>
      <w:color w:val="60a0b0"/>
      <w:i/>
    </w:rPr>
  </w:style>
  <w:style w:customStyle="1" w:styleId="DocumentationTok" w:type="character">
    <w:name w:val="DocumentationTok"/>
    <w:basedOn w:val="VerbatimChar"/>
    <w:rPr>
      <w:color w:val="ba2121"/>
      <w:i/>
    </w:rPr>
  </w:style>
  <w:style w:customStyle="1" w:styleId="AnnotationTok" w:type="character">
    <w:name w:val="AnnotationTok"/>
    <w:basedOn w:val="VerbatimChar"/>
    <w:rPr>
      <w:color w:val="60a0b0"/>
      <w:b/>
      <w:i/>
    </w:rPr>
  </w:style>
  <w:style w:customStyle="1" w:styleId="CommentVarTok" w:type="character">
    <w:name w:val="CommentVarTok"/>
    <w:basedOn w:val="VerbatimChar"/>
    <w:rPr>
      <w:color w:val="60a0b0"/>
      <w:b/>
      <w:i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color w:val="007020"/>
      <w:b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/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color w:val="60a0b0"/>
      <w:b/>
      <w:i/>
    </w:rPr>
  </w:style>
  <w:style w:customStyle="1" w:styleId="WarningTok" w:type="character">
    <w:name w:val="WarningTok"/>
    <w:basedOn w:val="VerbatimChar"/>
    <w:rPr>
      <w:color w:val="60a0b0"/>
      <w:b/>
      <w:i/>
    </w:rPr>
  </w:style>
  <w:style w:customStyle="1" w:styleId="AlertTok" w:type="character">
    <w:name w:val="AlertTok"/>
    <w:basedOn w:val="VerbatimChar"/>
    <w:rPr>
      <w:color w:val="ff0000"/>
      <w:b/>
    </w:rPr>
  </w:style>
  <w:style w:customStyle="1" w:styleId="ErrorTok" w:type="character">
    <w:name w:val="ErrorTok"/>
    <w:basedOn w:val="VerbatimChar"/>
    <w:rPr>
      <w:color w:val="ff0000"/>
      <w:b/>
    </w:rPr>
  </w:style>
  <w:style w:customStyle="1" w:styleId="NormalTok" w:type="character">
    <w:name w:val="NormalTok"/>
    <w:basedOn w:val="VerbatimChar"/>
    <w:rPr/>
  </w:style>
  <w:style w:customStyle="1" w:styleId="KeywordTok" w:type="character">
    <w:name w:val="KeywordTok"/>
    <w:basedOn w:val="VerbatimChar"/>
    <w:rPr>
      <w:color w:val="007020"/>
      <w:b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/>
  </w:style>
  <w:style w:customStyle="1" w:styleId="CommentTok" w:type="character">
    <w:name w:val="CommentTok"/>
    <w:basedOn w:val="VerbatimChar"/>
    <w:rPr>
      <w:color w:val="60a0b0"/>
      <w:i/>
    </w:rPr>
  </w:style>
  <w:style w:customStyle="1" w:styleId="DocumentationTok" w:type="character">
    <w:name w:val="DocumentationTok"/>
    <w:basedOn w:val="VerbatimChar"/>
    <w:rPr>
      <w:color w:val="ba2121"/>
      <w:i/>
    </w:rPr>
  </w:style>
  <w:style w:customStyle="1" w:styleId="AnnotationTok" w:type="character">
    <w:name w:val="AnnotationTok"/>
    <w:basedOn w:val="VerbatimChar"/>
    <w:rPr>
      <w:color w:val="60a0b0"/>
      <w:b/>
      <w:i/>
    </w:rPr>
  </w:style>
  <w:style w:customStyle="1" w:styleId="CommentVarTok" w:type="character">
    <w:name w:val="CommentVarTok"/>
    <w:basedOn w:val="VerbatimChar"/>
    <w:rPr>
      <w:color w:val="60a0b0"/>
      <w:b/>
      <w:i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color w:val="007020"/>
      <w:b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/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color w:val="60a0b0"/>
      <w:b/>
      <w:i/>
    </w:rPr>
  </w:style>
  <w:style w:customStyle="1" w:styleId="WarningTok" w:type="character">
    <w:name w:val="WarningTok"/>
    <w:basedOn w:val="VerbatimChar"/>
    <w:rPr>
      <w:color w:val="60a0b0"/>
      <w:b/>
      <w:i/>
    </w:rPr>
  </w:style>
  <w:style w:customStyle="1" w:styleId="AlertTok" w:type="character">
    <w:name w:val="AlertTok"/>
    <w:basedOn w:val="VerbatimChar"/>
    <w:rPr>
      <w:color w:val="ff0000"/>
      <w:b/>
    </w:rPr>
  </w:style>
  <w:style w:customStyle="1" w:styleId="ErrorTok" w:type="character">
    <w:name w:val="ErrorTok"/>
    <w:basedOn w:val="VerbatimChar"/>
    <w:rPr>
      <w:color w:val="ff0000"/>
      <w:b/>
    </w:rPr>
  </w:style>
  <w:style w:customStyle="1" w:styleId="NormalTok" w:type="character">
    <w:name w:val="NormalTok"/>
    <w:basedOn w:val="VerbatimChar"/>
    <w:rPr/>
  </w:style>
  <w:style w:customStyle="1" w:styleId="Heading2" w:type="paragraph">
    <w:name w:val="heading 2"/>
    <w:basedOn w:val="Normal"/>
    <w:uiPriority w:val="9"/>
    <w:unhideWhenUsed/>
    <w:qFormat/>
    <w:pPr>
      <w:keepNext/>
      <w:spacing w:after="120" w:before="300"/>
    </w:pPr>
    <w:rPr>
      <w:b/>
      <w:sz w:val="26"/>
    </w:rPr>
  </w:style>
  <w:style w:customStyle="1" w:styleId="KeywordTok" w:type="character">
    <w:name w:val="KeywordTok"/>
    <w:basedOn w:val="VerbatimChar"/>
    <w:rPr>
      <w:color w:val="007020"/>
      <w:b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/>
  </w:style>
  <w:style w:customStyle="1" w:styleId="CommentTok" w:type="character">
    <w:name w:val="CommentTok"/>
    <w:basedOn w:val="VerbatimChar"/>
    <w:rPr>
      <w:color w:val="60a0b0"/>
      <w:i/>
    </w:rPr>
  </w:style>
  <w:style w:customStyle="1" w:styleId="DocumentationTok" w:type="character">
    <w:name w:val="DocumentationTok"/>
    <w:basedOn w:val="VerbatimChar"/>
    <w:rPr>
      <w:color w:val="ba2121"/>
      <w:i/>
    </w:rPr>
  </w:style>
  <w:style w:customStyle="1" w:styleId="AnnotationTok" w:type="character">
    <w:name w:val="AnnotationTok"/>
    <w:basedOn w:val="VerbatimChar"/>
    <w:rPr>
      <w:color w:val="60a0b0"/>
      <w:b/>
      <w:i/>
    </w:rPr>
  </w:style>
  <w:style w:customStyle="1" w:styleId="CommentVarTok" w:type="character">
    <w:name w:val="CommentVarTok"/>
    <w:basedOn w:val="VerbatimChar"/>
    <w:rPr>
      <w:color w:val="60a0b0"/>
      <w:b/>
      <w:i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color w:val="007020"/>
      <w:b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/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color w:val="60a0b0"/>
      <w:b/>
      <w:i/>
    </w:rPr>
  </w:style>
  <w:style w:customStyle="1" w:styleId="WarningTok" w:type="character">
    <w:name w:val="WarningTok"/>
    <w:basedOn w:val="VerbatimChar"/>
    <w:rPr>
      <w:color w:val="60a0b0"/>
      <w:b/>
      <w:i/>
    </w:rPr>
  </w:style>
  <w:style w:customStyle="1" w:styleId="AlertTok" w:type="character">
    <w:name w:val="AlertTok"/>
    <w:basedOn w:val="VerbatimChar"/>
    <w:rPr>
      <w:color w:val="ff0000"/>
      <w:b/>
    </w:rPr>
  </w:style>
  <w:style w:customStyle="1" w:styleId="ErrorTok" w:type="character">
    <w:name w:val="ErrorTok"/>
    <w:basedOn w:val="VerbatimChar"/>
    <w:rPr>
      <w:color w:val="ff0000"/>
      <w:b/>
    </w:rPr>
  </w:style>
  <w:style w:customStyle="1" w:styleId="NormalTok" w:type="character">
    <w:name w:val="NormalTok"/>
    <w:basedOn w:val="VerbatimChar"/>
    <w:rPr/>
  </w:style>
  <w:style w:customStyle="1" w:styleId="KeywordTok" w:type="character">
    <w:name w:val="KeywordTok"/>
    <w:basedOn w:val="VerbatimChar"/>
    <w:rPr>
      <w:color w:val="007020"/>
      <w:b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/>
  </w:style>
  <w:style w:customStyle="1" w:styleId="CommentTok" w:type="character">
    <w:name w:val="CommentTok"/>
    <w:basedOn w:val="VerbatimChar"/>
    <w:rPr>
      <w:color w:val="60a0b0"/>
      <w:i/>
    </w:rPr>
  </w:style>
  <w:style w:customStyle="1" w:styleId="DocumentationTok" w:type="character">
    <w:name w:val="DocumentationTok"/>
    <w:basedOn w:val="VerbatimChar"/>
    <w:rPr>
      <w:color w:val="ba2121"/>
      <w:i/>
    </w:rPr>
  </w:style>
  <w:style w:customStyle="1" w:styleId="AnnotationTok" w:type="character">
    <w:name w:val="AnnotationTok"/>
    <w:basedOn w:val="VerbatimChar"/>
    <w:rPr>
      <w:color w:val="60a0b0"/>
      <w:b/>
      <w:i/>
    </w:rPr>
  </w:style>
  <w:style w:customStyle="1" w:styleId="CommentVarTok" w:type="character">
    <w:name w:val="CommentVarTok"/>
    <w:basedOn w:val="VerbatimChar"/>
    <w:rPr>
      <w:color w:val="60a0b0"/>
      <w:b/>
      <w:i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color w:val="007020"/>
      <w:b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/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color w:val="60a0b0"/>
      <w:b/>
      <w:i/>
    </w:rPr>
  </w:style>
  <w:style w:customStyle="1" w:styleId="WarningTok" w:type="character">
    <w:name w:val="WarningTok"/>
    <w:basedOn w:val="VerbatimChar"/>
    <w:rPr>
      <w:color w:val="60a0b0"/>
      <w:b/>
      <w:i/>
    </w:rPr>
  </w:style>
  <w:style w:customStyle="1" w:styleId="AlertTok" w:type="character">
    <w:name w:val="AlertTok"/>
    <w:basedOn w:val="VerbatimChar"/>
    <w:rPr>
      <w:color w:val="ff0000"/>
      <w:b/>
    </w:rPr>
  </w:style>
  <w:style w:customStyle="1" w:styleId="ErrorTok" w:type="character">
    <w:name w:val="ErrorTok"/>
    <w:basedOn w:val="VerbatimChar"/>
    <w:rPr>
      <w:color w:val="ff0000"/>
      <w:b/>
    </w:rPr>
  </w:style>
  <w:style w:customStyle="1" w:styleId="NormalTok" w:type="character">
    <w:name w:val="NormalTok"/>
    <w:basedOn w:val="VerbatimChar"/>
    <w:rPr/>
  </w:style>
  <w:style w:customStyle="1" w:styleId="KeywordTok" w:type="character">
    <w:name w:val="KeywordTok"/>
    <w:basedOn w:val="VerbatimChar"/>
    <w:rPr>
      <w:color w:val="007020"/>
      <w:b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/>
  </w:style>
  <w:style w:customStyle="1" w:styleId="CommentTok" w:type="character">
    <w:name w:val="CommentTok"/>
    <w:basedOn w:val="VerbatimChar"/>
    <w:rPr>
      <w:color w:val="60a0b0"/>
      <w:i/>
    </w:rPr>
  </w:style>
  <w:style w:customStyle="1" w:styleId="DocumentationTok" w:type="character">
    <w:name w:val="DocumentationTok"/>
    <w:basedOn w:val="VerbatimChar"/>
    <w:rPr>
      <w:color w:val="ba2121"/>
      <w:i/>
    </w:rPr>
  </w:style>
  <w:style w:customStyle="1" w:styleId="AnnotationTok" w:type="character">
    <w:name w:val="AnnotationTok"/>
    <w:basedOn w:val="VerbatimChar"/>
    <w:rPr>
      <w:color w:val="60a0b0"/>
      <w:b/>
      <w:i/>
    </w:rPr>
  </w:style>
  <w:style w:customStyle="1" w:styleId="CommentVarTok" w:type="character">
    <w:name w:val="CommentVarTok"/>
    <w:basedOn w:val="VerbatimChar"/>
    <w:rPr>
      <w:color w:val="60a0b0"/>
      <w:b/>
      <w:i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color w:val="007020"/>
      <w:b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/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color w:val="60a0b0"/>
      <w:b/>
      <w:i/>
    </w:rPr>
  </w:style>
  <w:style w:customStyle="1" w:styleId="WarningTok" w:type="character">
    <w:name w:val="WarningTok"/>
    <w:basedOn w:val="VerbatimChar"/>
    <w:rPr>
      <w:color w:val="60a0b0"/>
      <w:b/>
      <w:i/>
    </w:rPr>
  </w:style>
  <w:style w:customStyle="1" w:styleId="AlertTok" w:type="character">
    <w:name w:val="AlertTok"/>
    <w:basedOn w:val="VerbatimChar"/>
    <w:rPr>
      <w:color w:val="ff0000"/>
      <w:b/>
    </w:rPr>
  </w:style>
  <w:style w:customStyle="1" w:styleId="ErrorTok" w:type="character">
    <w:name w:val="ErrorTok"/>
    <w:basedOn w:val="VerbatimChar"/>
    <w:rPr>
      <w:color w:val="ff0000"/>
      <w:b/>
    </w:rPr>
  </w:style>
  <w:style w:customStyle="1" w:styleId="NormalTok" w:type="character">
    <w:name w:val="NormalTok"/>
    <w:basedOn w:val="VerbatimChar"/>
    <w:rPr/>
  </w:style>
  <w:style w:customStyle="1" w:styleId="KeywordTok" w:type="character">
    <w:name w:val="KeywordTok"/>
    <w:basedOn w:val="VerbatimChar"/>
    <w:rPr>
      <w:color w:val="007020"/>
      <w:b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/>
  </w:style>
  <w:style w:customStyle="1" w:styleId="CommentTok" w:type="character">
    <w:name w:val="CommentTok"/>
    <w:basedOn w:val="VerbatimChar"/>
    <w:rPr>
      <w:color w:val="60a0b0"/>
      <w:i/>
    </w:rPr>
  </w:style>
  <w:style w:customStyle="1" w:styleId="DocumentationTok" w:type="character">
    <w:name w:val="DocumentationTok"/>
    <w:basedOn w:val="VerbatimChar"/>
    <w:rPr>
      <w:color w:val="ba2121"/>
      <w:i/>
    </w:rPr>
  </w:style>
  <w:style w:customStyle="1" w:styleId="AnnotationTok" w:type="character">
    <w:name w:val="AnnotationTok"/>
    <w:basedOn w:val="VerbatimChar"/>
    <w:rPr>
      <w:color w:val="60a0b0"/>
      <w:b/>
      <w:i/>
    </w:rPr>
  </w:style>
  <w:style w:customStyle="1" w:styleId="CommentVarTok" w:type="character">
    <w:name w:val="CommentVarTok"/>
    <w:basedOn w:val="VerbatimChar"/>
    <w:rPr>
      <w:color w:val="60a0b0"/>
      <w:b/>
      <w:i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color w:val="007020"/>
      <w:b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/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color w:val="60a0b0"/>
      <w:b/>
      <w:i/>
    </w:rPr>
  </w:style>
  <w:style w:customStyle="1" w:styleId="WarningTok" w:type="character">
    <w:name w:val="WarningTok"/>
    <w:basedOn w:val="VerbatimChar"/>
    <w:rPr>
      <w:color w:val="60a0b0"/>
      <w:b/>
      <w:i/>
    </w:rPr>
  </w:style>
  <w:style w:customStyle="1" w:styleId="AlertTok" w:type="character">
    <w:name w:val="AlertTok"/>
    <w:basedOn w:val="VerbatimChar"/>
    <w:rPr>
      <w:color w:val="ff0000"/>
      <w:b/>
    </w:rPr>
  </w:style>
  <w:style w:customStyle="1" w:styleId="ErrorTok" w:type="character">
    <w:name w:val="ErrorTok"/>
    <w:basedOn w:val="VerbatimChar"/>
    <w:rPr>
      <w:color w:val="ff0000"/>
      <w:b/>
    </w:rPr>
  </w:style>
  <w:style w:customStyle="1" w:styleId="NormalTok" w:type="character">
    <w:name w:val="NormalTok"/>
    <w:basedOn w:val="VerbatimChar"/>
    <w:rPr/>
  </w:style>
  <w:style w:customStyle="1" w:styleId="KeywordTok" w:type="character">
    <w:name w:val="KeywordTok"/>
    <w:basedOn w:val="VerbatimChar"/>
    <w:rPr>
      <w:color w:val="007020"/>
      <w:b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/>
  </w:style>
  <w:style w:customStyle="1" w:styleId="CommentTok" w:type="character">
    <w:name w:val="CommentTok"/>
    <w:basedOn w:val="VerbatimChar"/>
    <w:rPr>
      <w:color w:val="60a0b0"/>
      <w:i/>
    </w:rPr>
  </w:style>
  <w:style w:customStyle="1" w:styleId="DocumentationTok" w:type="character">
    <w:name w:val="DocumentationTok"/>
    <w:basedOn w:val="VerbatimChar"/>
    <w:rPr>
      <w:color w:val="ba2121"/>
      <w:i/>
    </w:rPr>
  </w:style>
  <w:style w:customStyle="1" w:styleId="AnnotationTok" w:type="character">
    <w:name w:val="AnnotationTok"/>
    <w:basedOn w:val="VerbatimChar"/>
    <w:rPr>
      <w:color w:val="60a0b0"/>
      <w:b/>
      <w:i/>
    </w:rPr>
  </w:style>
  <w:style w:customStyle="1" w:styleId="CommentVarTok" w:type="character">
    <w:name w:val="CommentVarTok"/>
    <w:basedOn w:val="VerbatimChar"/>
    <w:rPr>
      <w:color w:val="60a0b0"/>
      <w:b/>
      <w:i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color w:val="007020"/>
      <w:b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/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color w:val="60a0b0"/>
      <w:b/>
      <w:i/>
    </w:rPr>
  </w:style>
  <w:style w:customStyle="1" w:styleId="WarningTok" w:type="character">
    <w:name w:val="WarningTok"/>
    <w:basedOn w:val="VerbatimChar"/>
    <w:rPr>
      <w:color w:val="60a0b0"/>
      <w:b/>
      <w:i/>
    </w:rPr>
  </w:style>
  <w:style w:customStyle="1" w:styleId="AlertTok" w:type="character">
    <w:name w:val="AlertTok"/>
    <w:basedOn w:val="VerbatimChar"/>
    <w:rPr>
      <w:color w:val="ff0000"/>
      <w:b/>
    </w:rPr>
  </w:style>
  <w:style w:customStyle="1" w:styleId="ErrorTok" w:type="character">
    <w:name w:val="ErrorTok"/>
    <w:basedOn w:val="VerbatimChar"/>
    <w:rPr>
      <w:color w:val="ff0000"/>
      <w:b/>
    </w:rPr>
  </w:style>
  <w:style w:customStyle="1" w:styleId="NormalTok" w:type="character">
    <w:name w:val="NormalTok"/>
    <w:basedOn w:val="VerbatimChar"/>
    <w:rPr/>
  </w:style>
  <w:style w:customStyle="1" w:styleId="KeywordTok" w:type="character">
    <w:name w:val="KeywordTok"/>
    <w:basedOn w:val="VerbatimChar"/>
    <w:rPr>
      <w:color w:val="007020"/>
      <w:b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/>
  </w:style>
  <w:style w:customStyle="1" w:styleId="CommentTok" w:type="character">
    <w:name w:val="CommentTok"/>
    <w:basedOn w:val="VerbatimChar"/>
    <w:rPr>
      <w:color w:val="60a0b0"/>
      <w:i/>
    </w:rPr>
  </w:style>
  <w:style w:customStyle="1" w:styleId="DocumentationTok" w:type="character">
    <w:name w:val="DocumentationTok"/>
    <w:basedOn w:val="VerbatimChar"/>
    <w:rPr>
      <w:color w:val="ba2121"/>
      <w:i/>
    </w:rPr>
  </w:style>
  <w:style w:customStyle="1" w:styleId="AnnotationTok" w:type="character">
    <w:name w:val="AnnotationTok"/>
    <w:basedOn w:val="VerbatimChar"/>
    <w:rPr>
      <w:color w:val="60a0b0"/>
      <w:b/>
      <w:i/>
    </w:rPr>
  </w:style>
  <w:style w:customStyle="1" w:styleId="CommentVarTok" w:type="character">
    <w:name w:val="CommentVarTok"/>
    <w:basedOn w:val="VerbatimChar"/>
    <w:rPr>
      <w:color w:val="60a0b0"/>
      <w:b/>
      <w:i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color w:val="007020"/>
      <w:b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/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color w:val="60a0b0"/>
      <w:b/>
      <w:i/>
    </w:rPr>
  </w:style>
  <w:style w:customStyle="1" w:styleId="WarningTok" w:type="character">
    <w:name w:val="WarningTok"/>
    <w:basedOn w:val="VerbatimChar"/>
    <w:rPr>
      <w:color w:val="60a0b0"/>
      <w:b/>
      <w:i/>
    </w:rPr>
  </w:style>
  <w:style w:customStyle="1" w:styleId="AlertTok" w:type="character">
    <w:name w:val="AlertTok"/>
    <w:basedOn w:val="VerbatimChar"/>
    <w:rPr>
      <w:color w:val="ff0000"/>
      <w:b/>
    </w:rPr>
  </w:style>
  <w:style w:customStyle="1" w:styleId="ErrorTok" w:type="character">
    <w:name w:val="ErrorTok"/>
    <w:basedOn w:val="VerbatimChar"/>
    <w:rPr>
      <w:color w:val="ff0000"/>
      <w:b/>
    </w:rPr>
  </w:style>
  <w:style w:customStyle="1" w:styleId="NormalTok" w:type="character">
    <w:name w:val="NormalTok"/>
    <w:basedOn w:val="VerbatimChar"/>
    <w:rPr/>
  </w:style>
  <w:style w:customStyle="1" w:styleId="KeywordTok" w:type="character">
    <w:name w:val="KeywordTok"/>
    <w:basedOn w:val="VerbatimChar"/>
    <w:rPr>
      <w:color w:val="007020"/>
      <w:b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/>
  </w:style>
  <w:style w:customStyle="1" w:styleId="CommentTok" w:type="character">
    <w:name w:val="CommentTok"/>
    <w:basedOn w:val="VerbatimChar"/>
    <w:rPr>
      <w:color w:val="60a0b0"/>
      <w:i/>
    </w:rPr>
  </w:style>
  <w:style w:customStyle="1" w:styleId="DocumentationTok" w:type="character">
    <w:name w:val="DocumentationTok"/>
    <w:basedOn w:val="VerbatimChar"/>
    <w:rPr>
      <w:color w:val="ba2121"/>
      <w:i/>
    </w:rPr>
  </w:style>
  <w:style w:customStyle="1" w:styleId="AnnotationTok" w:type="character">
    <w:name w:val="AnnotationTok"/>
    <w:basedOn w:val="VerbatimChar"/>
    <w:rPr>
      <w:color w:val="60a0b0"/>
      <w:b/>
      <w:i/>
    </w:rPr>
  </w:style>
  <w:style w:customStyle="1" w:styleId="CommentVarTok" w:type="character">
    <w:name w:val="CommentVarTok"/>
    <w:basedOn w:val="VerbatimChar"/>
    <w:rPr>
      <w:color w:val="60a0b0"/>
      <w:b/>
      <w:i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color w:val="007020"/>
      <w:b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/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color w:val="60a0b0"/>
      <w:b/>
      <w:i/>
    </w:rPr>
  </w:style>
  <w:style w:customStyle="1" w:styleId="WarningTok" w:type="character">
    <w:name w:val="WarningTok"/>
    <w:basedOn w:val="VerbatimChar"/>
    <w:rPr>
      <w:color w:val="60a0b0"/>
      <w:b/>
      <w:i/>
    </w:rPr>
  </w:style>
  <w:style w:customStyle="1" w:styleId="AlertTok" w:type="character">
    <w:name w:val="AlertTok"/>
    <w:basedOn w:val="VerbatimChar"/>
    <w:rPr>
      <w:color w:val="ff0000"/>
      <w:b/>
    </w:rPr>
  </w:style>
  <w:style w:customStyle="1" w:styleId="ErrorTok" w:type="character">
    <w:name w:val="ErrorTok"/>
    <w:basedOn w:val="VerbatimChar"/>
    <w:rPr>
      <w:color w:val="ff0000"/>
      <w:b/>
    </w:rPr>
  </w:style>
  <w:style w:customStyle="1" w:styleId="NormalTok" w:type="character">
    <w:name w:val="NormalTok"/>
    <w:basedOn w:val="VerbatimChar"/>
    <w:rPr/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3388</Words>
  <Characters>19315</Characters>
  <Application>Microsoft Office Word</Application>
  <DocSecurity>0</DocSecurity>
  <Lines>160</Lines>
  <Paragraphs>45</Paragraphs>
  <ScaleCrop>false</ScaleCrop>
  <Company/>
  <LinksUpToDate>false</LinksUpToDate>
  <CharactersWithSpaces>22658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2026-09-16T17:41:45Z</dcterms:created>
  <dcterms:modified xsi:type="dcterms:W3CDTF">2026-09-16T17:41:45Z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ditor">
    <vt:lpwstr/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location">
    <vt:lpwstr>left</vt:lpwstr>
  </property>
  <property fmtid="{D5CDD505-2E9C-101B-9397-08002B2CF9AE}" pid="9" name="toc-title">
    <vt:lpwstr>Table of contents</vt:lpwstr>
  </property>
</Properties>
</file>